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7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311D8" w14:textId="79F03ECD" w:rsidR="00904CCB" w:rsidRDefault="008B75A5" w:rsidP="00904CCB">
      <w:pPr>
        <w:spacing w:after="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Apresentação </w:t>
      </w:r>
    </w:p>
    <w:p w14:paraId="5484AF1F" w14:textId="77777777" w:rsidR="00C377E8" w:rsidRDefault="008B75A5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 Extensão Universitária apresenta-se </w:t>
      </w:r>
      <w:r w:rsidR="00C377E8">
        <w:rPr>
          <w:rFonts w:ascii="Arial" w:eastAsia="Times New Roman" w:hAnsi="Arial" w:cs="Arial"/>
          <w:sz w:val="24"/>
          <w:szCs w:val="24"/>
        </w:rPr>
        <w:t>por meio de</w:t>
      </w:r>
      <w:r>
        <w:rPr>
          <w:rFonts w:ascii="Arial" w:eastAsia="Times New Roman" w:hAnsi="Arial" w:cs="Arial"/>
          <w:sz w:val="24"/>
          <w:szCs w:val="24"/>
        </w:rPr>
        <w:t xml:space="preserve"> interação e diálogo com a comunidade, elementos capazes de transformar a sociedade </w:t>
      </w:r>
      <w:r w:rsidR="00C377E8">
        <w:rPr>
          <w:rFonts w:ascii="Arial" w:eastAsia="Times New Roman" w:hAnsi="Arial" w:cs="Arial"/>
          <w:sz w:val="24"/>
          <w:szCs w:val="24"/>
        </w:rPr>
        <w:t>e sobretudo</w:t>
      </w:r>
      <w:r>
        <w:rPr>
          <w:rFonts w:ascii="Arial" w:eastAsia="Times New Roman" w:hAnsi="Arial" w:cs="Arial"/>
          <w:sz w:val="24"/>
          <w:szCs w:val="24"/>
        </w:rPr>
        <w:t xml:space="preserve"> a própria instituição</w:t>
      </w:r>
      <w:r w:rsidR="00C377E8">
        <w:rPr>
          <w:rFonts w:ascii="Arial" w:eastAsia="Times New Roman" w:hAnsi="Arial" w:cs="Arial"/>
          <w:sz w:val="24"/>
          <w:szCs w:val="24"/>
        </w:rPr>
        <w:t xml:space="preserve"> posto que as ações extensionistas </w:t>
      </w:r>
      <w:r>
        <w:rPr>
          <w:rFonts w:ascii="Arial" w:eastAsia="Times New Roman" w:hAnsi="Arial" w:cs="Arial"/>
          <w:sz w:val="24"/>
          <w:szCs w:val="24"/>
        </w:rPr>
        <w:t xml:space="preserve">são substratos para produção de novos conhecimentos. </w:t>
      </w:r>
    </w:p>
    <w:p w14:paraId="4BA9E48D" w14:textId="1737D8CB" w:rsidR="00A6618A" w:rsidRDefault="008B75A5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Segundo Sandra de Deus:</w:t>
      </w:r>
    </w:p>
    <w:p w14:paraId="4FB1DCA0" w14:textId="77777777" w:rsidR="00A6618A" w:rsidRDefault="008B75A5">
      <w:pPr>
        <w:spacing w:after="0" w:line="240" w:lineRule="auto"/>
        <w:ind w:left="170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>Uma das tarefas mais preciosas confiadas à Universidade, como um dos setores da sociedade ao qual se atribui a geração de conhecimento, é a estreita interação com os demais setor</w:t>
      </w:r>
      <w:r>
        <w:rPr>
          <w:rFonts w:ascii="Arial" w:eastAsia="Times New Roman" w:hAnsi="Arial" w:cs="Arial"/>
          <w:sz w:val="20"/>
          <w:szCs w:val="20"/>
        </w:rPr>
        <w:t>es dessa mesma sociedade, independentemente dos anseios deste setor chamado universidade ou dos demais setores. Se a Universidade for fiel às suas próprias demandas e àquelas provenientes dos demais setores da sociedade, fortalecendo a formação de profissi</w:t>
      </w:r>
      <w:r>
        <w:rPr>
          <w:rFonts w:ascii="Arial" w:eastAsia="Times New Roman" w:hAnsi="Arial" w:cs="Arial"/>
          <w:sz w:val="20"/>
          <w:szCs w:val="20"/>
        </w:rPr>
        <w:t>onais comprometidos com esta mesma sociedade, preservando cultura, zelando por direitos humanos e compartilhando o conhecimento, cumprirá em parte sua missão.</w:t>
      </w:r>
      <w:r>
        <w:rPr>
          <w:rStyle w:val="Refdenotaderodap"/>
          <w:rFonts w:ascii="Arial" w:eastAsia="Times New Roman" w:hAnsi="Arial" w:cs="Arial"/>
          <w:sz w:val="20"/>
          <w:szCs w:val="20"/>
        </w:rPr>
        <w:footnoteReference w:id="1"/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569B313" w14:textId="77777777" w:rsidR="00A6618A" w:rsidRDefault="00A6618A">
      <w:pPr>
        <w:spacing w:after="0" w:line="240" w:lineRule="auto"/>
        <w:ind w:left="1701"/>
        <w:jc w:val="both"/>
        <w:rPr>
          <w:rFonts w:ascii="Arial" w:eastAsia="Times New Roman" w:hAnsi="Arial" w:cs="Arial"/>
        </w:rPr>
      </w:pPr>
    </w:p>
    <w:p w14:paraId="7307CEA5" w14:textId="5E3C19F5" w:rsidR="00A6618A" w:rsidRDefault="008B75A5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 Universidade Regional do Cariri - URCA como importante setor da sociedade, por meio da Pró </w:t>
      </w:r>
      <w:r>
        <w:rPr>
          <w:rFonts w:ascii="Arial" w:eastAsia="Times New Roman" w:hAnsi="Arial" w:cs="Arial"/>
          <w:sz w:val="24"/>
          <w:szCs w:val="24"/>
        </w:rPr>
        <w:t xml:space="preserve">Reitoria de Extensão, apresenta neste volume da Revista de Extensão da URCA resultados alcançados pelas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experiências realizadas </w:t>
      </w:r>
      <w:r w:rsidR="00C377E8">
        <w:rPr>
          <w:rFonts w:ascii="Arial" w:eastAsia="Times New Roman" w:hAnsi="Arial" w:cs="Arial"/>
          <w:b/>
          <w:bCs/>
          <w:sz w:val="24"/>
          <w:szCs w:val="24"/>
        </w:rPr>
        <w:t>nos anos de 2021 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2022</w:t>
      </w:r>
      <w:r>
        <w:rPr>
          <w:rFonts w:ascii="Arial" w:eastAsia="Times New Roman" w:hAnsi="Arial" w:cs="Arial"/>
          <w:sz w:val="24"/>
          <w:szCs w:val="24"/>
        </w:rPr>
        <w:t xml:space="preserve"> através dos Projetos, Programas, Eventos, Cursos e </w:t>
      </w:r>
      <w:r w:rsidR="000F2CF2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ficinas, ao tempo em que constrói uma memória docume</w:t>
      </w:r>
      <w:r>
        <w:rPr>
          <w:rFonts w:ascii="Arial" w:eastAsia="Times New Roman" w:hAnsi="Arial" w:cs="Arial"/>
          <w:sz w:val="24"/>
          <w:szCs w:val="24"/>
        </w:rPr>
        <w:t>ntal a fim de que a</w:t>
      </w:r>
      <w:r w:rsidR="000F2CF2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 comunidade</w:t>
      </w:r>
      <w:r w:rsidR="000F2CF2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 interna e externa possa</w:t>
      </w:r>
      <w:r w:rsidR="000F2CF2"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 xml:space="preserve"> conhecer as ações e seus impactos. Também para que docentes e discentes possam refletir sobre os percursos trilhados na busca de melhorá-los cada vez mais </w:t>
      </w:r>
      <w:r w:rsidR="000F2CF2">
        <w:rPr>
          <w:rFonts w:ascii="Arial" w:eastAsia="Times New Roman" w:hAnsi="Arial" w:cs="Arial"/>
          <w:sz w:val="24"/>
          <w:szCs w:val="24"/>
        </w:rPr>
        <w:t xml:space="preserve">e possam </w:t>
      </w:r>
      <w:r>
        <w:rPr>
          <w:rFonts w:ascii="Arial" w:eastAsia="Times New Roman" w:hAnsi="Arial" w:cs="Arial"/>
          <w:sz w:val="24"/>
          <w:szCs w:val="24"/>
        </w:rPr>
        <w:t xml:space="preserve">ampliar os laços e </w:t>
      </w:r>
      <w:r>
        <w:rPr>
          <w:rFonts w:ascii="Arial" w:eastAsia="Times New Roman" w:hAnsi="Arial" w:cs="Arial"/>
          <w:sz w:val="24"/>
          <w:szCs w:val="24"/>
        </w:rPr>
        <w:t>compromissos de transformação social pela via extensionista.</w:t>
      </w:r>
    </w:p>
    <w:p w14:paraId="0D8F7BC4" w14:textId="77777777" w:rsidR="00A6618A" w:rsidRDefault="00A6618A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548BD05D" w14:textId="77777777" w:rsidR="00A6618A" w:rsidRDefault="008B75A5">
      <w:pPr>
        <w:spacing w:after="0" w:line="360" w:lineRule="auto"/>
        <w:ind w:firstLine="720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Resultados </w:t>
      </w:r>
    </w:p>
    <w:p w14:paraId="64C65D05" w14:textId="780A6E13" w:rsidR="000F2CF2" w:rsidRPr="000F2CF2" w:rsidRDefault="000F2CF2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en-US"/>
        </w:rPr>
      </w:pPr>
      <w:bookmarkStart w:id="0" w:name="_Hlk141973386"/>
      <w:r w:rsidRPr="000F2CF2">
        <w:rPr>
          <w:rFonts w:ascii="Arial" w:eastAsia="Times New Roman" w:hAnsi="Arial" w:cs="Arial"/>
          <w:sz w:val="24"/>
          <w:szCs w:val="24"/>
        </w:rPr>
        <w:t xml:space="preserve">No ano de   2021  as ações de extensão em beneficiaram </w:t>
      </w:r>
      <w:r w:rsidRPr="000F2CF2">
        <w:rPr>
          <w:rFonts w:ascii="Arial" w:eastAsia="Times New Roman" w:hAnsi="Arial" w:cs="Arial"/>
          <w:b/>
          <w:bCs/>
          <w:sz w:val="24"/>
          <w:szCs w:val="24"/>
        </w:rPr>
        <w:t>302.169 ( trezentos e dois mil, 169 pessoas )</w:t>
      </w:r>
      <w:r w:rsidRPr="000F2CF2">
        <w:rPr>
          <w:rFonts w:ascii="Arial" w:eastAsia="Times New Roman" w:hAnsi="Arial" w:cs="Arial"/>
          <w:sz w:val="24"/>
          <w:szCs w:val="24"/>
        </w:rPr>
        <w:t xml:space="preserve"> por meio de </w:t>
      </w:r>
      <w:r w:rsidRPr="000F2CF2">
        <w:rPr>
          <w:rFonts w:ascii="Arial" w:hAnsi="Arial" w:cs="Arial"/>
          <w:b/>
          <w:bCs/>
          <w:sz w:val="24"/>
          <w:szCs w:val="24"/>
        </w:rPr>
        <w:t>126</w:t>
      </w:r>
      <w:r w:rsidRPr="000F2CF2">
        <w:rPr>
          <w:rFonts w:ascii="Arial" w:hAnsi="Arial" w:cs="Arial"/>
          <w:sz w:val="24"/>
          <w:szCs w:val="24"/>
        </w:rPr>
        <w:t xml:space="preserve"> ( Cento e vinte e seis) projetos, </w:t>
      </w:r>
      <w:r w:rsidRPr="000F2CF2">
        <w:rPr>
          <w:rFonts w:ascii="Arial" w:hAnsi="Arial" w:cs="Arial"/>
          <w:b/>
          <w:bCs/>
          <w:sz w:val="24"/>
          <w:szCs w:val="24"/>
        </w:rPr>
        <w:t xml:space="preserve">30 </w:t>
      </w:r>
      <w:r w:rsidRPr="000F2CF2">
        <w:rPr>
          <w:rFonts w:ascii="Arial" w:hAnsi="Arial" w:cs="Arial"/>
          <w:sz w:val="24"/>
          <w:szCs w:val="24"/>
        </w:rPr>
        <w:t>(trinta)</w:t>
      </w:r>
      <w:r w:rsidRPr="000F2CF2">
        <w:rPr>
          <w:rFonts w:ascii="Arial" w:hAnsi="Arial" w:cs="Arial"/>
          <w:b/>
          <w:bCs/>
          <w:sz w:val="24"/>
          <w:szCs w:val="24"/>
        </w:rPr>
        <w:t xml:space="preserve"> </w:t>
      </w:r>
      <w:r w:rsidRPr="000F2CF2">
        <w:rPr>
          <w:rFonts w:ascii="Arial" w:hAnsi="Arial" w:cs="Arial"/>
          <w:sz w:val="24"/>
          <w:szCs w:val="24"/>
        </w:rPr>
        <w:t xml:space="preserve">programas, </w:t>
      </w:r>
      <w:r w:rsidRPr="000F2CF2">
        <w:rPr>
          <w:rFonts w:ascii="Arial" w:hAnsi="Arial" w:cs="Arial"/>
          <w:b/>
          <w:bCs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</w:t>
      </w:r>
      <w:r w:rsidRPr="000F2CF2">
        <w:rPr>
          <w:rFonts w:ascii="Arial" w:hAnsi="Arial" w:cs="Arial"/>
          <w:sz w:val="24"/>
          <w:szCs w:val="24"/>
        </w:rPr>
        <w:t>(vinte quatro) Cursos</w:t>
      </w:r>
      <w:r w:rsidRPr="000F2CF2">
        <w:rPr>
          <w:rFonts w:ascii="Arial" w:hAnsi="Arial" w:cs="Arial"/>
          <w:sz w:val="24"/>
          <w:szCs w:val="24"/>
          <w:lang w:val="en-US"/>
        </w:rPr>
        <w:t>/</w:t>
      </w:r>
      <w:r w:rsidRPr="000F2CF2">
        <w:rPr>
          <w:rFonts w:ascii="Arial" w:hAnsi="Arial" w:cs="Arial"/>
          <w:sz w:val="24"/>
          <w:szCs w:val="24"/>
        </w:rPr>
        <w:t>Eventos</w:t>
      </w:r>
      <w:r w:rsidRPr="000F2CF2">
        <w:rPr>
          <w:rFonts w:ascii="Arial" w:hAnsi="Arial" w:cs="Arial"/>
          <w:sz w:val="24"/>
          <w:szCs w:val="24"/>
          <w:lang w:val="en-US"/>
        </w:rPr>
        <w:t>/</w:t>
      </w:r>
      <w:r w:rsidRPr="000F2CF2">
        <w:rPr>
          <w:rFonts w:ascii="Arial" w:hAnsi="Arial" w:cs="Arial"/>
          <w:sz w:val="24"/>
          <w:szCs w:val="24"/>
        </w:rPr>
        <w:t>Oficinas</w:t>
      </w:r>
      <w:r w:rsidRPr="000F2CF2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0F2CF2">
        <w:rPr>
          <w:rFonts w:ascii="Arial" w:hAnsi="Arial" w:cs="Arial"/>
          <w:sz w:val="24"/>
          <w:szCs w:val="24"/>
          <w:lang w:val="en-US"/>
        </w:rPr>
        <w:t>Exposições</w:t>
      </w:r>
      <w:proofErr w:type="spellEnd"/>
      <w:r w:rsidRPr="000F2CF2">
        <w:rPr>
          <w:rFonts w:ascii="Arial" w:hAnsi="Arial" w:cs="Arial"/>
          <w:sz w:val="24"/>
          <w:szCs w:val="24"/>
          <w:lang w:val="en-US"/>
        </w:rPr>
        <w:t xml:space="preserve"> e </w:t>
      </w:r>
      <w:r w:rsidRPr="000F2CF2">
        <w:rPr>
          <w:rFonts w:ascii="Arial" w:hAnsi="Arial" w:cs="Arial"/>
          <w:b/>
          <w:bCs/>
          <w:sz w:val="24"/>
          <w:szCs w:val="24"/>
          <w:lang w:val="en-US"/>
        </w:rPr>
        <w:t xml:space="preserve">07 </w:t>
      </w:r>
      <w:r w:rsidRPr="000F2CF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F2CF2">
        <w:rPr>
          <w:rFonts w:ascii="Arial" w:hAnsi="Arial" w:cs="Arial"/>
          <w:sz w:val="24"/>
          <w:szCs w:val="24"/>
          <w:lang w:val="en-US"/>
        </w:rPr>
        <w:t>outras</w:t>
      </w:r>
      <w:proofErr w:type="spellEnd"/>
      <w:r w:rsidRPr="000F2CF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F2CF2">
        <w:rPr>
          <w:rFonts w:ascii="Arial" w:hAnsi="Arial" w:cs="Arial"/>
          <w:sz w:val="24"/>
          <w:szCs w:val="24"/>
          <w:lang w:val="en-US"/>
        </w:rPr>
        <w:t>ações</w:t>
      </w:r>
      <w:proofErr w:type="spellEnd"/>
      <w:r w:rsidRPr="000F2CF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F2CF2">
        <w:rPr>
          <w:rFonts w:ascii="Arial" w:hAnsi="Arial" w:cs="Arial"/>
          <w:sz w:val="24"/>
          <w:szCs w:val="24"/>
          <w:lang w:val="en-US"/>
        </w:rPr>
        <w:t>vinculadas</w:t>
      </w:r>
      <w:proofErr w:type="spellEnd"/>
      <w:r w:rsidRPr="000F2CF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F2CF2">
        <w:rPr>
          <w:rFonts w:ascii="Arial" w:hAnsi="Arial" w:cs="Arial"/>
          <w:sz w:val="24"/>
          <w:szCs w:val="24"/>
          <w:lang w:val="en-US"/>
        </w:rPr>
        <w:t>aos</w:t>
      </w:r>
      <w:proofErr w:type="spellEnd"/>
      <w:r w:rsidRPr="000F2CF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F2CF2">
        <w:rPr>
          <w:rFonts w:ascii="Arial" w:hAnsi="Arial" w:cs="Arial"/>
          <w:sz w:val="24"/>
          <w:szCs w:val="24"/>
          <w:lang w:val="en-US"/>
        </w:rPr>
        <w:t>programas</w:t>
      </w:r>
      <w:proofErr w:type="spellEnd"/>
      <w:r w:rsidRPr="000F2CF2">
        <w:rPr>
          <w:rFonts w:ascii="Arial" w:hAnsi="Arial" w:cs="Arial"/>
          <w:sz w:val="24"/>
          <w:szCs w:val="24"/>
          <w:lang w:val="en-US"/>
        </w:rPr>
        <w:t xml:space="preserve"> que </w:t>
      </w:r>
      <w:proofErr w:type="spellStart"/>
      <w:r w:rsidRPr="000F2CF2">
        <w:rPr>
          <w:rFonts w:ascii="Arial" w:hAnsi="Arial" w:cs="Arial"/>
          <w:sz w:val="24"/>
          <w:szCs w:val="24"/>
          <w:lang w:val="en-US"/>
        </w:rPr>
        <w:t>contam</w:t>
      </w:r>
      <w:proofErr w:type="spellEnd"/>
      <w:r w:rsidRPr="000F2CF2">
        <w:rPr>
          <w:rFonts w:ascii="Arial" w:hAnsi="Arial" w:cs="Arial"/>
          <w:sz w:val="24"/>
          <w:szCs w:val="24"/>
          <w:lang w:val="en-US"/>
        </w:rPr>
        <w:t xml:space="preserve"> com </w:t>
      </w:r>
      <w:proofErr w:type="spellStart"/>
      <w:r w:rsidRPr="000F2CF2">
        <w:rPr>
          <w:rFonts w:ascii="Arial" w:hAnsi="Arial" w:cs="Arial"/>
          <w:sz w:val="24"/>
          <w:szCs w:val="24"/>
          <w:lang w:val="en-US"/>
        </w:rPr>
        <w:t>bolsas</w:t>
      </w:r>
      <w:proofErr w:type="spellEnd"/>
      <w:r w:rsidRPr="000F2CF2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0F2CF2">
        <w:rPr>
          <w:rFonts w:ascii="Arial" w:hAnsi="Arial" w:cs="Arial"/>
          <w:sz w:val="24"/>
          <w:szCs w:val="24"/>
          <w:lang w:val="en-US"/>
        </w:rPr>
        <w:t>extensão</w:t>
      </w:r>
      <w:proofErr w:type="spellEnd"/>
      <w:r w:rsidRPr="000F2CF2">
        <w:rPr>
          <w:rFonts w:ascii="Arial" w:hAnsi="Arial" w:cs="Arial"/>
          <w:sz w:val="24"/>
          <w:szCs w:val="24"/>
          <w:lang w:val="en-US"/>
        </w:rPr>
        <w:t xml:space="preserve">  </w:t>
      </w:r>
      <w:proofErr w:type="spellStart"/>
      <w:r w:rsidRPr="000F2CF2">
        <w:rPr>
          <w:rFonts w:ascii="Arial" w:hAnsi="Arial" w:cs="Arial"/>
          <w:sz w:val="24"/>
          <w:szCs w:val="24"/>
          <w:lang w:val="en-US"/>
        </w:rPr>
        <w:t>tecnológica</w:t>
      </w:r>
      <w:proofErr w:type="spellEnd"/>
      <w:r w:rsidRPr="000F2CF2">
        <w:rPr>
          <w:rFonts w:ascii="Arial" w:hAnsi="Arial" w:cs="Arial"/>
          <w:sz w:val="24"/>
          <w:szCs w:val="24"/>
          <w:lang w:val="en-US"/>
        </w:rPr>
        <w:t xml:space="preserve"> -URCA, </w:t>
      </w:r>
      <w:r w:rsidRPr="000F2CF2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0F2CF2">
        <w:rPr>
          <w:rFonts w:ascii="Arial" w:hAnsi="Arial" w:cs="Arial"/>
          <w:sz w:val="24"/>
          <w:szCs w:val="24"/>
          <w:lang w:val="en-US"/>
        </w:rPr>
        <w:t>totalizando</w:t>
      </w:r>
      <w:proofErr w:type="spellEnd"/>
      <w:r w:rsidRPr="000F2CF2">
        <w:rPr>
          <w:rFonts w:ascii="Arial" w:hAnsi="Arial" w:cs="Arial"/>
          <w:sz w:val="24"/>
          <w:szCs w:val="24"/>
          <w:lang w:val="en-US"/>
        </w:rPr>
        <w:t xml:space="preserve"> 187 </w:t>
      </w:r>
      <w:proofErr w:type="spellStart"/>
      <w:r w:rsidRPr="000F2CF2">
        <w:rPr>
          <w:rFonts w:ascii="Arial" w:hAnsi="Arial" w:cs="Arial"/>
          <w:sz w:val="24"/>
          <w:szCs w:val="24"/>
          <w:lang w:val="en-US"/>
        </w:rPr>
        <w:t>ações</w:t>
      </w:r>
      <w:proofErr w:type="spellEnd"/>
      <w:r w:rsidRPr="000F2CF2">
        <w:rPr>
          <w:rFonts w:ascii="Arial" w:hAnsi="Arial" w:cs="Arial"/>
          <w:sz w:val="24"/>
          <w:szCs w:val="24"/>
          <w:lang w:val="en-US"/>
        </w:rPr>
        <w:t>.</w:t>
      </w:r>
      <w:r w:rsidRPr="000F2CF2">
        <w:rPr>
          <w:rFonts w:ascii="Times New Roman" w:hAnsi="Times New Roman" w:cs="Times New Roman"/>
          <w:lang w:val="en-US"/>
        </w:rPr>
        <w:t xml:space="preserve"> </w:t>
      </w:r>
    </w:p>
    <w:p w14:paraId="75B32E12" w14:textId="77777777" w:rsidR="000F2CF2" w:rsidRDefault="000F2CF2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No ano de 2022 as ações de extensão beneficiaram </w:t>
      </w:r>
      <w:r>
        <w:rPr>
          <w:rFonts w:ascii="Arial" w:eastAsia="Times New Roman" w:hAnsi="Arial" w:cs="Arial"/>
          <w:b/>
          <w:bCs/>
          <w:sz w:val="24"/>
          <w:szCs w:val="24"/>
        </w:rPr>
        <w:t>165.854 (</w:t>
      </w:r>
      <w:r>
        <w:rPr>
          <w:rFonts w:ascii="Arial" w:eastAsia="Times New Roman" w:hAnsi="Arial" w:cs="Arial"/>
          <w:sz w:val="24"/>
          <w:szCs w:val="24"/>
        </w:rPr>
        <w:t xml:space="preserve">cento e sessenta e cinco mil, oitocentos e cinquenta e quatro) pessoas por meio de </w:t>
      </w:r>
      <w:r>
        <w:rPr>
          <w:rFonts w:ascii="Arial" w:eastAsia="Times New Roman" w:hAnsi="Arial" w:cs="Arial"/>
          <w:b/>
          <w:bCs/>
          <w:sz w:val="24"/>
          <w:szCs w:val="24"/>
        </w:rPr>
        <w:t>36</w:t>
      </w:r>
      <w:r>
        <w:rPr>
          <w:rFonts w:ascii="Arial" w:eastAsia="Times New Roman" w:hAnsi="Arial" w:cs="Arial"/>
          <w:sz w:val="24"/>
          <w:szCs w:val="24"/>
        </w:rPr>
        <w:t xml:space="preserve"> (trinta e seis) Programas,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128 </w:t>
      </w:r>
      <w:r>
        <w:rPr>
          <w:rFonts w:ascii="Arial" w:eastAsia="Times New Roman" w:hAnsi="Arial" w:cs="Arial"/>
          <w:sz w:val="24"/>
          <w:szCs w:val="24"/>
        </w:rPr>
        <w:t xml:space="preserve">(cento e vinte e oito) Projetos, </w:t>
      </w:r>
      <w:r>
        <w:rPr>
          <w:rFonts w:ascii="Arial" w:eastAsia="Times New Roman" w:hAnsi="Arial" w:cs="Arial"/>
          <w:b/>
          <w:bCs/>
          <w:sz w:val="24"/>
          <w:szCs w:val="24"/>
        </w:rPr>
        <w:t>39</w:t>
      </w:r>
      <w:r>
        <w:rPr>
          <w:rFonts w:ascii="Arial" w:eastAsia="Times New Roman" w:hAnsi="Arial" w:cs="Arial"/>
          <w:sz w:val="24"/>
          <w:szCs w:val="24"/>
        </w:rPr>
        <w:t xml:space="preserve"> Eventos e </w:t>
      </w:r>
      <w:r>
        <w:rPr>
          <w:rFonts w:ascii="Arial" w:eastAsia="Times New Roman" w:hAnsi="Arial" w:cs="Arial"/>
          <w:b/>
          <w:bCs/>
          <w:sz w:val="24"/>
          <w:szCs w:val="24"/>
        </w:rPr>
        <w:t>26</w:t>
      </w:r>
      <w:r>
        <w:rPr>
          <w:rFonts w:ascii="Arial" w:eastAsia="Times New Roman" w:hAnsi="Arial" w:cs="Arial"/>
          <w:sz w:val="24"/>
          <w:szCs w:val="24"/>
        </w:rPr>
        <w:t xml:space="preserve"> Cursos e Oficinas. </w:t>
      </w:r>
    </w:p>
    <w:p w14:paraId="12C5688A" w14:textId="03191E7C" w:rsidR="00A6618A" w:rsidRDefault="008B75A5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31%</w:t>
      </w:r>
      <w:r>
        <w:rPr>
          <w:rFonts w:ascii="Arial" w:eastAsia="Times New Roman" w:hAnsi="Arial" w:cs="Arial"/>
          <w:sz w:val="24"/>
          <w:szCs w:val="24"/>
        </w:rPr>
        <w:t xml:space="preserve"> (trinta </w:t>
      </w:r>
      <w:r>
        <w:rPr>
          <w:rFonts w:ascii="Arial" w:eastAsia="Times New Roman" w:hAnsi="Arial" w:cs="Arial"/>
          <w:sz w:val="24"/>
          <w:szCs w:val="24"/>
        </w:rPr>
        <w:t>e um por cento) das ações atenderam pessoas em situação de vulnerabilidade social</w:t>
      </w:r>
      <w:r>
        <w:rPr>
          <w:rStyle w:val="Refdenotaderodap"/>
          <w:rFonts w:ascii="Arial" w:eastAsia="Times New Roman" w:hAnsi="Arial" w:cs="Arial"/>
          <w:sz w:val="24"/>
          <w:szCs w:val="24"/>
        </w:rPr>
        <w:footnoteReference w:id="2"/>
      </w:r>
      <w:r>
        <w:rPr>
          <w:rFonts w:ascii="Arial" w:eastAsia="Times New Roman" w:hAnsi="Arial" w:cs="Arial"/>
          <w:sz w:val="24"/>
          <w:szCs w:val="24"/>
        </w:rPr>
        <w:t xml:space="preserve">, questão que se apresenta entre os </w:t>
      </w:r>
      <w:r>
        <w:rPr>
          <w:rFonts w:ascii="Arial" w:hAnsi="Arial" w:cs="Arial"/>
          <w:sz w:val="24"/>
          <w:szCs w:val="24"/>
        </w:rPr>
        <w:t xml:space="preserve">princípios básicos e norteadores das atividades extensionistas uma vez que a prioridade de ações voltadas para os problemas e </w:t>
      </w:r>
      <w:r>
        <w:rPr>
          <w:rFonts w:ascii="Arial" w:hAnsi="Arial" w:cs="Arial"/>
          <w:sz w:val="24"/>
          <w:szCs w:val="24"/>
        </w:rPr>
        <w:t>apelos da sociedade apontam para mudança social e superação da desigualdade e exclusão.</w:t>
      </w:r>
    </w:p>
    <w:p w14:paraId="3A482710" w14:textId="77777777" w:rsidR="00A6618A" w:rsidRDefault="008B75A5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34%</w:t>
      </w:r>
      <w:r>
        <w:rPr>
          <w:rFonts w:ascii="Arial" w:eastAsia="Times New Roman" w:hAnsi="Arial" w:cs="Arial"/>
          <w:sz w:val="24"/>
          <w:szCs w:val="24"/>
        </w:rPr>
        <w:t xml:space="preserve"> (trinta e quatro por cento) atenderam </w:t>
      </w:r>
      <w:r>
        <w:rPr>
          <w:rFonts w:ascii="Arial" w:hAnsi="Arial" w:cs="Arial"/>
          <w:sz w:val="24"/>
          <w:szCs w:val="24"/>
        </w:rPr>
        <w:t>ao sistema de ensino público</w:t>
      </w:r>
      <w:r>
        <w:rPr>
          <w:rFonts w:ascii="Arial" w:eastAsia="Times New Roman" w:hAnsi="Arial" w:cs="Arial"/>
          <w:sz w:val="24"/>
          <w:szCs w:val="24"/>
        </w:rPr>
        <w:t xml:space="preserve"> e seguem um outro </w:t>
      </w:r>
      <w:r>
        <w:rPr>
          <w:rFonts w:ascii="Arial" w:hAnsi="Arial" w:cs="Arial"/>
          <w:sz w:val="24"/>
          <w:szCs w:val="24"/>
        </w:rPr>
        <w:t>princípio extensionista classificado como “uma das diretrizes prioritárias volt</w:t>
      </w:r>
      <w:r>
        <w:rPr>
          <w:rFonts w:ascii="Arial" w:hAnsi="Arial" w:cs="Arial"/>
          <w:sz w:val="24"/>
          <w:szCs w:val="24"/>
        </w:rPr>
        <w:t>ada para o fortalecimento da educação básica através de contribuições técnico científicas e colaboração na construção e difusão dos valores da cidadania”</w:t>
      </w:r>
      <w:r>
        <w:rPr>
          <w:rStyle w:val="Refdenotaderodap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. As demais ações equivalentes a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35% </w:t>
      </w:r>
      <w:r>
        <w:rPr>
          <w:rFonts w:ascii="Arial" w:eastAsia="Times New Roman" w:hAnsi="Arial" w:cs="Arial"/>
          <w:sz w:val="24"/>
          <w:szCs w:val="24"/>
        </w:rPr>
        <w:t xml:space="preserve">(trinta e cinco por cento) atenderam diversas situações sociais </w:t>
      </w:r>
      <w:r>
        <w:rPr>
          <w:rFonts w:ascii="Arial" w:eastAsia="Times New Roman" w:hAnsi="Arial" w:cs="Arial"/>
          <w:sz w:val="24"/>
          <w:szCs w:val="24"/>
        </w:rPr>
        <w:t xml:space="preserve">e diferentes públicos conforme apresentado em gráfico abaixo: </w:t>
      </w:r>
    </w:p>
    <w:p w14:paraId="7D0F5BBD" w14:textId="2DB76BB9" w:rsidR="00A6618A" w:rsidRDefault="008B75A5">
      <w:pPr>
        <w:pStyle w:val="Legenda"/>
        <w:jc w:val="center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Figura </w:t>
      </w:r>
      <w:r>
        <w:rPr>
          <w:color w:val="auto"/>
          <w:sz w:val="22"/>
          <w:szCs w:val="22"/>
        </w:rPr>
        <w:fldChar w:fldCharType="begin"/>
      </w:r>
      <w:r>
        <w:rPr>
          <w:color w:val="auto"/>
          <w:sz w:val="22"/>
          <w:szCs w:val="22"/>
        </w:rPr>
        <w:instrText xml:space="preserve"> SEQ Figura \* ARABIC </w:instrText>
      </w:r>
      <w:r>
        <w:rPr>
          <w:color w:val="auto"/>
          <w:sz w:val="22"/>
          <w:szCs w:val="22"/>
        </w:rPr>
        <w:fldChar w:fldCharType="separate"/>
      </w:r>
      <w:r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fldChar w:fldCharType="end"/>
      </w:r>
      <w:r>
        <w:rPr>
          <w:rFonts w:ascii="Arial" w:hAnsi="Arial" w:cs="Arial"/>
          <w:i w:val="0"/>
          <w:iCs w:val="0"/>
          <w:color w:val="auto"/>
          <w:sz w:val="22"/>
          <w:szCs w:val="22"/>
          <w:lang w:val="en-US"/>
        </w:rPr>
        <w:t>:</w:t>
      </w:r>
      <w:r>
        <w:rPr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color w:val="auto"/>
          <w:sz w:val="22"/>
          <w:szCs w:val="22"/>
          <w:lang w:val="en-US"/>
        </w:rPr>
        <w:t>Valores</w:t>
      </w:r>
      <w:proofErr w:type="spellEnd"/>
      <w:r>
        <w:rPr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color w:val="auto"/>
          <w:sz w:val="22"/>
          <w:szCs w:val="22"/>
          <w:lang w:val="en-US"/>
        </w:rPr>
        <w:t>em</w:t>
      </w:r>
      <w:proofErr w:type="spellEnd"/>
      <w:r>
        <w:rPr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color w:val="auto"/>
          <w:sz w:val="22"/>
          <w:szCs w:val="22"/>
          <w:lang w:val="en-US"/>
        </w:rPr>
        <w:t>Porcentagem</w:t>
      </w:r>
      <w:proofErr w:type="spellEnd"/>
      <w:r>
        <w:rPr>
          <w:color w:val="auto"/>
          <w:sz w:val="22"/>
          <w:szCs w:val="22"/>
          <w:lang w:val="en-US"/>
        </w:rPr>
        <w:t xml:space="preserve"> </w:t>
      </w:r>
      <w:r w:rsidR="001611EB">
        <w:rPr>
          <w:color w:val="auto"/>
          <w:sz w:val="22"/>
          <w:szCs w:val="22"/>
          <w:lang w:val="en-US"/>
        </w:rPr>
        <w:t>- 2022</w:t>
      </w:r>
    </w:p>
    <w:p w14:paraId="513F5413" w14:textId="77777777" w:rsidR="00A6618A" w:rsidRDefault="008B75A5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25E7192B" wp14:editId="2DBD5F91">
            <wp:extent cx="4572000" cy="2562225"/>
            <wp:effectExtent l="0" t="0" r="0" b="9525"/>
            <wp:docPr id="38776892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bookmarkEnd w:id="0"/>
    <w:p w14:paraId="058944D5" w14:textId="77777777" w:rsidR="00A6618A" w:rsidRDefault="00A6618A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7E225061" w14:textId="77777777" w:rsidR="00A6618A" w:rsidRDefault="008B75A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os dados acima, as ações desenvolvidas nas escolas públicas aparecem bastante fortalecidas, acreditamos</w:t>
      </w:r>
      <w:r>
        <w:rPr>
          <w:rFonts w:ascii="Arial" w:eastAsia="Times New Roman" w:hAnsi="Arial" w:cs="Arial"/>
          <w:sz w:val="24"/>
          <w:szCs w:val="24"/>
        </w:rPr>
        <w:t xml:space="preserve"> que deve-se a quantidade de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cursos oferecidos na modalidade licenciatura, formação que habilita para atuação na educação básica, já que  dos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32 </w:t>
      </w:r>
      <w:r>
        <w:rPr>
          <w:rFonts w:ascii="Arial" w:eastAsia="Times New Roman" w:hAnsi="Arial" w:cs="Arial"/>
          <w:sz w:val="24"/>
          <w:szCs w:val="24"/>
        </w:rPr>
        <w:t xml:space="preserve">cursos existentes (nas modalidades licenciatura, bacharelado e tecnólogo) </w:t>
      </w:r>
      <w:r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são licenciaturas.</w:t>
      </w:r>
    </w:p>
    <w:p w14:paraId="1744A382" w14:textId="77777777" w:rsidR="00A6618A" w:rsidRDefault="00A6618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F417B0F" w14:textId="77777777" w:rsidR="00A6618A" w:rsidRDefault="00A6618A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E1AB734" w14:textId="77777777" w:rsidR="00A6618A" w:rsidRDefault="008B75A5" w:rsidP="00904CCB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Envolvimento</w:t>
      </w:r>
      <w:r>
        <w:rPr>
          <w:rFonts w:ascii="Arial" w:hAnsi="Arial" w:cs="Arial"/>
          <w:b/>
          <w:bCs/>
          <w:sz w:val="28"/>
          <w:szCs w:val="28"/>
        </w:rPr>
        <w:t xml:space="preserve"> da comunidade acadêmica e política de extensão</w:t>
      </w:r>
    </w:p>
    <w:p w14:paraId="35AB6C7A" w14:textId="77777777" w:rsidR="001611EB" w:rsidRDefault="001611EB">
      <w:pPr>
        <w:spacing w:after="0" w:line="360" w:lineRule="auto"/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DAF18C5" w14:textId="77777777" w:rsidR="001611EB" w:rsidRPr="00843A6B" w:rsidRDefault="001611EB" w:rsidP="001611EB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843A6B">
        <w:rPr>
          <w:rFonts w:ascii="Arial" w:eastAsia="Times New Roman" w:hAnsi="Arial" w:cs="Arial"/>
          <w:sz w:val="24"/>
          <w:szCs w:val="24"/>
        </w:rPr>
        <w:t xml:space="preserve">No ano de 2021 das ações cadastradas na PROEX, participaram </w:t>
      </w:r>
      <w:r w:rsidRPr="00843A6B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843A6B">
        <w:rPr>
          <w:rFonts w:ascii="Arial" w:eastAsia="Times New Roman" w:hAnsi="Arial" w:cs="Arial"/>
          <w:b/>
          <w:bCs/>
          <w:sz w:val="24"/>
          <w:szCs w:val="24"/>
          <w:lang w:val="en-US"/>
        </w:rPr>
        <w:t>87</w:t>
      </w:r>
      <w:r w:rsidRPr="00843A6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843A6B">
        <w:rPr>
          <w:rFonts w:ascii="Arial" w:eastAsia="Times New Roman" w:hAnsi="Arial" w:cs="Arial"/>
          <w:sz w:val="24"/>
          <w:szCs w:val="24"/>
        </w:rPr>
        <w:t xml:space="preserve">professores, </w:t>
      </w:r>
      <w:r w:rsidRPr="00843A6B">
        <w:rPr>
          <w:rFonts w:ascii="Arial" w:eastAsia="Times New Roman" w:hAnsi="Arial" w:cs="Arial"/>
          <w:b/>
          <w:bCs/>
          <w:sz w:val="24"/>
          <w:szCs w:val="24"/>
          <w:lang w:val="en-US"/>
        </w:rPr>
        <w:t>546</w:t>
      </w:r>
      <w:r w:rsidRPr="00843A6B">
        <w:rPr>
          <w:rFonts w:ascii="Arial" w:eastAsia="Times New Roman" w:hAnsi="Arial" w:cs="Arial"/>
          <w:sz w:val="24"/>
          <w:szCs w:val="24"/>
        </w:rPr>
        <w:t xml:space="preserve"> estudantes voluntários, </w:t>
      </w:r>
      <w:r w:rsidRPr="00843A6B">
        <w:rPr>
          <w:rFonts w:ascii="Arial" w:eastAsia="Times New Roman" w:hAnsi="Arial" w:cs="Arial"/>
          <w:b/>
          <w:bCs/>
          <w:sz w:val="24"/>
          <w:szCs w:val="24"/>
        </w:rPr>
        <w:t>220</w:t>
      </w:r>
      <w:r w:rsidRPr="00843A6B">
        <w:rPr>
          <w:rFonts w:ascii="Arial" w:eastAsia="Times New Roman" w:hAnsi="Arial" w:cs="Arial"/>
          <w:sz w:val="24"/>
          <w:szCs w:val="24"/>
        </w:rPr>
        <w:t xml:space="preserve"> bolsistas do </w:t>
      </w:r>
      <w:proofErr w:type="spellStart"/>
      <w:r w:rsidRPr="00843A6B">
        <w:rPr>
          <w:rFonts w:ascii="Arial" w:eastAsia="Times New Roman" w:hAnsi="Arial" w:cs="Arial"/>
          <w:sz w:val="24"/>
          <w:szCs w:val="24"/>
        </w:rPr>
        <w:t>BSocial</w:t>
      </w:r>
      <w:proofErr w:type="spellEnd"/>
      <w:r w:rsidRPr="00843A6B">
        <w:rPr>
          <w:rFonts w:ascii="Arial" w:eastAsia="Times New Roman" w:hAnsi="Arial" w:cs="Arial"/>
          <w:sz w:val="24"/>
          <w:szCs w:val="24"/>
        </w:rPr>
        <w:t>/FECOP</w:t>
      </w:r>
      <w:r w:rsidRPr="00843A6B">
        <w:rPr>
          <w:rFonts w:ascii="Arial" w:eastAsia="Times New Roman" w:hAnsi="Arial" w:cs="Arial"/>
          <w:b/>
          <w:bCs/>
          <w:sz w:val="24"/>
          <w:szCs w:val="24"/>
        </w:rPr>
        <w:t>, 21</w:t>
      </w:r>
      <w:r w:rsidRPr="00843A6B">
        <w:rPr>
          <w:rFonts w:ascii="Arial" w:eastAsia="Times New Roman" w:hAnsi="Arial" w:cs="Arial"/>
          <w:sz w:val="24"/>
          <w:szCs w:val="24"/>
        </w:rPr>
        <w:t xml:space="preserve"> profissionais da comunidade externa, com formação superior (graduação, mestrado e doutorado) com bolsas de Extensão Tecnológica e </w:t>
      </w:r>
      <w:r w:rsidRPr="00843A6B">
        <w:rPr>
          <w:rFonts w:ascii="Arial" w:eastAsia="Times New Roman" w:hAnsi="Arial" w:cs="Arial"/>
          <w:b/>
          <w:bCs/>
          <w:sz w:val="24"/>
          <w:szCs w:val="24"/>
        </w:rPr>
        <w:t>14</w:t>
      </w:r>
      <w:r w:rsidRPr="00843A6B">
        <w:rPr>
          <w:rFonts w:ascii="Arial" w:eastAsia="Times New Roman" w:hAnsi="Arial" w:cs="Arial"/>
          <w:sz w:val="24"/>
          <w:szCs w:val="24"/>
        </w:rPr>
        <w:t xml:space="preserve"> alunos da Educação Básica com as bolsas PIBEX Junior</w:t>
      </w:r>
      <w:r w:rsidRPr="00843A6B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Pr="00843A6B">
        <w:rPr>
          <w:rFonts w:ascii="Arial" w:eastAsia="Times New Roman" w:hAnsi="Arial" w:cs="Arial"/>
          <w:sz w:val="24"/>
          <w:szCs w:val="24"/>
        </w:rPr>
        <w:t>estas duas modalidades de bolsas financiadas com os recursos da URCA.</w:t>
      </w:r>
    </w:p>
    <w:p w14:paraId="71F32E0A" w14:textId="5FC540F5" w:rsidR="00A6618A" w:rsidRDefault="001611EB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Em 2022 os Projetos, Programas, Cursos, Oficinas e Eventos de Extensão cadastrados na PROEX foram coordenados por </w:t>
      </w:r>
      <w:r>
        <w:rPr>
          <w:rFonts w:ascii="Arial" w:eastAsia="Times New Roman" w:hAnsi="Arial" w:cs="Arial"/>
          <w:b/>
          <w:bCs/>
          <w:sz w:val="24"/>
          <w:szCs w:val="24"/>
        </w:rPr>
        <w:t>164</w:t>
      </w:r>
      <w:r>
        <w:rPr>
          <w:rFonts w:ascii="Arial" w:eastAsia="Times New Roman" w:hAnsi="Arial" w:cs="Arial"/>
          <w:sz w:val="24"/>
          <w:szCs w:val="24"/>
        </w:rPr>
        <w:t xml:space="preserve"> (cento e sessenta e quatro) docentes, contaram com a participação de </w:t>
      </w:r>
      <w:r>
        <w:rPr>
          <w:rFonts w:ascii="Arial" w:eastAsia="Times New Roman" w:hAnsi="Arial" w:cs="Arial"/>
          <w:b/>
          <w:bCs/>
          <w:sz w:val="24"/>
          <w:szCs w:val="24"/>
        </w:rPr>
        <w:t>18</w:t>
      </w:r>
      <w:r>
        <w:rPr>
          <w:rFonts w:ascii="Arial" w:eastAsia="Times New Roman" w:hAnsi="Arial" w:cs="Arial"/>
          <w:sz w:val="24"/>
          <w:szCs w:val="24"/>
        </w:rPr>
        <w:t xml:space="preserve"> (dezoito) técnicos administrativos e foram protagonizados por </w:t>
      </w:r>
      <w:r>
        <w:rPr>
          <w:rFonts w:ascii="Arial" w:eastAsia="Times New Roman" w:hAnsi="Arial" w:cs="Arial"/>
          <w:b/>
          <w:bCs/>
          <w:sz w:val="24"/>
          <w:szCs w:val="24"/>
        </w:rPr>
        <w:t>586</w:t>
      </w:r>
      <w:r>
        <w:rPr>
          <w:rFonts w:ascii="Arial" w:eastAsia="Times New Roman" w:hAnsi="Arial" w:cs="Arial"/>
          <w:sz w:val="24"/>
          <w:szCs w:val="24"/>
        </w:rPr>
        <w:t xml:space="preserve"> (quinhentos e oitenta e seis) estudantes.  Entre os estudantes, </w:t>
      </w:r>
      <w:r>
        <w:rPr>
          <w:rFonts w:ascii="Arial" w:eastAsia="Times New Roman" w:hAnsi="Arial" w:cs="Arial"/>
          <w:b/>
          <w:bCs/>
          <w:sz w:val="24"/>
          <w:szCs w:val="24"/>
        </w:rPr>
        <w:t>316</w:t>
      </w:r>
      <w:r>
        <w:rPr>
          <w:rFonts w:ascii="Arial" w:eastAsia="Times New Roman" w:hAnsi="Arial" w:cs="Arial"/>
          <w:sz w:val="24"/>
          <w:szCs w:val="24"/>
        </w:rPr>
        <w:t xml:space="preserve"> (trezentos e dezesseis) participaram de forma voluntária e </w:t>
      </w:r>
      <w:r>
        <w:rPr>
          <w:rFonts w:ascii="Arial" w:eastAsia="Times New Roman" w:hAnsi="Arial" w:cs="Arial"/>
          <w:b/>
          <w:bCs/>
          <w:sz w:val="24"/>
          <w:szCs w:val="24"/>
        </w:rPr>
        <w:t>270</w:t>
      </w:r>
      <w:r>
        <w:rPr>
          <w:rFonts w:ascii="Arial" w:eastAsia="Times New Roman" w:hAnsi="Arial" w:cs="Arial"/>
          <w:sz w:val="24"/>
          <w:szCs w:val="24"/>
        </w:rPr>
        <w:t xml:space="preserve"> (duzentos e setenta) como bolsistas. </w:t>
      </w:r>
    </w:p>
    <w:p w14:paraId="193A21E8" w14:textId="77777777" w:rsidR="00A6618A" w:rsidRDefault="008B75A5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Estes dados embora aparentem que a participação destes seguimentos foi suficiente, quando comparados com o total de Docentes, Servidores e Estudantes do quadro geral da Instituição verifica-se que necessi</w:t>
      </w:r>
      <w:r>
        <w:rPr>
          <w:rFonts w:ascii="Arial" w:eastAsia="Times New Roman" w:hAnsi="Arial" w:cs="Arial"/>
          <w:sz w:val="24"/>
          <w:szCs w:val="24"/>
        </w:rPr>
        <w:t>tam ser melhorados, sobretudo quanto a participação estudantil que segundo o FORPROEX deverá atingir 100%.</w:t>
      </w:r>
    </w:p>
    <w:p w14:paraId="663386E3" w14:textId="77777777" w:rsidR="00A6618A" w:rsidRDefault="008B75A5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 URCA conta atualmente em seu quadro </w:t>
      </w:r>
      <w:r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b/>
          <w:bCs/>
          <w:sz w:val="24"/>
          <w:szCs w:val="24"/>
        </w:rPr>
        <w:t>632</w:t>
      </w:r>
      <w:r>
        <w:rPr>
          <w:rFonts w:ascii="Arial" w:hAnsi="Arial" w:cs="Arial"/>
          <w:sz w:val="24"/>
          <w:szCs w:val="24"/>
        </w:rPr>
        <w:t xml:space="preserve"> professores e professoras,</w:t>
      </w:r>
      <w:r>
        <w:rPr>
          <w:rStyle w:val="Refdenotaderodap"/>
          <w:rFonts w:ascii="Arial" w:hAnsi="Arial" w:cs="Arial"/>
          <w:sz w:val="24"/>
          <w:szCs w:val="24"/>
        </w:rPr>
        <w:footnoteReference w:id="4"/>
      </w:r>
      <w:r>
        <w:rPr>
          <w:rFonts w:ascii="Arial" w:hAnsi="Arial" w:cs="Arial"/>
          <w:sz w:val="24"/>
          <w:szCs w:val="24"/>
        </w:rPr>
        <w:t xml:space="preserve">  e destes em </w:t>
      </w:r>
      <w:r>
        <w:rPr>
          <w:rFonts w:ascii="Arial" w:hAnsi="Arial" w:cs="Arial"/>
          <w:b/>
          <w:bCs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 xml:space="preserve"> apenas </w:t>
      </w:r>
      <w:r>
        <w:rPr>
          <w:rFonts w:ascii="Arial" w:hAnsi="Arial" w:cs="Arial"/>
          <w:b/>
          <w:bCs/>
          <w:sz w:val="24"/>
          <w:szCs w:val="24"/>
        </w:rPr>
        <w:t xml:space="preserve">164 </w:t>
      </w:r>
      <w:r>
        <w:rPr>
          <w:rFonts w:ascii="Arial" w:hAnsi="Arial" w:cs="Arial"/>
          <w:sz w:val="24"/>
          <w:szCs w:val="24"/>
        </w:rPr>
        <w:t>coordenaram atividades de extensão o equivale</w:t>
      </w:r>
      <w:r>
        <w:rPr>
          <w:rFonts w:ascii="Arial" w:hAnsi="Arial" w:cs="Arial"/>
          <w:sz w:val="24"/>
          <w:szCs w:val="24"/>
        </w:rPr>
        <w:t xml:space="preserve">nte a </w:t>
      </w:r>
      <w:r>
        <w:rPr>
          <w:rFonts w:ascii="Arial" w:hAnsi="Arial" w:cs="Arial"/>
          <w:b/>
          <w:bCs/>
          <w:sz w:val="24"/>
          <w:szCs w:val="24"/>
        </w:rPr>
        <w:t>21%</w:t>
      </w:r>
      <w:r>
        <w:rPr>
          <w:rFonts w:ascii="Arial" w:hAnsi="Arial" w:cs="Arial"/>
          <w:sz w:val="24"/>
          <w:szCs w:val="24"/>
        </w:rPr>
        <w:t xml:space="preserve"> do total, conforme representação: </w:t>
      </w:r>
    </w:p>
    <w:p w14:paraId="61CAA8DA" w14:textId="77777777" w:rsidR="00A6618A" w:rsidRDefault="00A6618A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36BC8CBC" w14:textId="77777777" w:rsidR="00A6618A" w:rsidRDefault="008B75A5">
      <w:pPr>
        <w:pStyle w:val="Legenda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Figura </w:t>
      </w:r>
      <w:r>
        <w:rPr>
          <w:color w:val="auto"/>
          <w:sz w:val="22"/>
          <w:szCs w:val="22"/>
        </w:rPr>
        <w:fldChar w:fldCharType="begin"/>
      </w:r>
      <w:r>
        <w:rPr>
          <w:color w:val="auto"/>
          <w:sz w:val="22"/>
          <w:szCs w:val="22"/>
        </w:rPr>
        <w:instrText xml:space="preserve"> SEQ Figura \* ARABIC </w:instrText>
      </w:r>
      <w:r>
        <w:rPr>
          <w:color w:val="auto"/>
          <w:sz w:val="22"/>
          <w:szCs w:val="22"/>
        </w:rPr>
        <w:fldChar w:fldCharType="separate"/>
      </w:r>
      <w:r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fldChar w:fldCharType="end"/>
      </w:r>
      <w:r>
        <w:rPr>
          <w:color w:val="auto"/>
          <w:sz w:val="22"/>
          <w:szCs w:val="22"/>
        </w:rPr>
        <w:t>: Participação de docentes nas ações de extensão</w:t>
      </w:r>
    </w:p>
    <w:p w14:paraId="7A6FE475" w14:textId="77777777" w:rsidR="00A6618A" w:rsidRDefault="008B75A5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5507F918" wp14:editId="2DEBE922">
            <wp:extent cx="3971925" cy="2047875"/>
            <wp:effectExtent l="0" t="0" r="9525" b="9525"/>
            <wp:docPr id="152145566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19C4661" w14:textId="77777777" w:rsidR="00A6618A" w:rsidRDefault="00A6618A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5344C40A" w14:textId="77777777" w:rsidR="00A6618A" w:rsidRDefault="008B75A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 participação dos técnicos administrativos nas ações extensionistas também aparece resumida quando se verifica que apenas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19,56% </w:t>
      </w:r>
      <w:r>
        <w:rPr>
          <w:rFonts w:ascii="Arial" w:eastAsia="Times New Roman" w:hAnsi="Arial" w:cs="Arial"/>
          <w:sz w:val="24"/>
          <w:szCs w:val="24"/>
        </w:rPr>
        <w:t>dos servidores participaram diretamente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 De acordo com o quadro geral a Instituição conta com </w:t>
      </w:r>
      <w:r>
        <w:rPr>
          <w:rFonts w:ascii="Arial" w:eastAsia="Times New Roman" w:hAnsi="Arial" w:cs="Arial"/>
          <w:b/>
          <w:bCs/>
          <w:sz w:val="24"/>
          <w:szCs w:val="24"/>
        </w:rPr>
        <w:t>92</w:t>
      </w:r>
      <w:r>
        <w:rPr>
          <w:rFonts w:ascii="Arial" w:eastAsia="Times New Roman" w:hAnsi="Arial" w:cs="Arial"/>
          <w:sz w:val="24"/>
          <w:szCs w:val="24"/>
        </w:rPr>
        <w:t xml:space="preserve"> servidores efetivos, contudo apenas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18 </w:t>
      </w:r>
      <w:r>
        <w:rPr>
          <w:rFonts w:ascii="Arial" w:eastAsia="Times New Roman" w:hAnsi="Arial" w:cs="Arial"/>
          <w:sz w:val="24"/>
          <w:szCs w:val="24"/>
        </w:rPr>
        <w:t>se envolveram nas ações.</w:t>
      </w:r>
    </w:p>
    <w:p w14:paraId="10219472" w14:textId="77777777" w:rsidR="00A6618A" w:rsidRDefault="008B75A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A participação dos estudantes também é considerada insuficiente ao ser comparada com o</w:t>
      </w:r>
      <w:r>
        <w:rPr>
          <w:rFonts w:ascii="Arial" w:eastAsia="Times New Roman" w:hAnsi="Arial" w:cs="Arial"/>
          <w:sz w:val="24"/>
          <w:szCs w:val="24"/>
        </w:rPr>
        <w:t xml:space="preserve"> número geral de discentes matriculados em todos os cursos em 2022. Dos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7.712</w:t>
      </w:r>
      <w:r>
        <w:rPr>
          <w:rFonts w:ascii="Arial" w:eastAsia="Times New Roman" w:hAnsi="Arial" w:cs="Arial"/>
          <w:sz w:val="24"/>
          <w:szCs w:val="24"/>
        </w:rPr>
        <w:t xml:space="preserve"> alunos apenas </w:t>
      </w:r>
      <w:r>
        <w:rPr>
          <w:rFonts w:ascii="Arial" w:eastAsia="Times New Roman" w:hAnsi="Arial" w:cs="Arial"/>
          <w:b/>
          <w:bCs/>
          <w:sz w:val="24"/>
          <w:szCs w:val="24"/>
        </w:rPr>
        <w:t>586</w:t>
      </w:r>
      <w:r>
        <w:rPr>
          <w:rFonts w:ascii="Arial" w:eastAsia="Times New Roman" w:hAnsi="Arial" w:cs="Arial"/>
          <w:sz w:val="24"/>
          <w:szCs w:val="24"/>
        </w:rPr>
        <w:t xml:space="preserve"> participaram das ações de extensão, o equivalente a </w:t>
      </w:r>
      <w:r>
        <w:rPr>
          <w:rFonts w:ascii="Arial" w:eastAsia="Times New Roman" w:hAnsi="Arial" w:cs="Arial"/>
          <w:b/>
          <w:bCs/>
          <w:sz w:val="24"/>
          <w:szCs w:val="24"/>
        </w:rPr>
        <w:t>7%</w:t>
      </w:r>
      <w:r>
        <w:rPr>
          <w:rFonts w:ascii="Arial" w:eastAsia="Times New Roman" w:hAnsi="Arial" w:cs="Arial"/>
          <w:sz w:val="24"/>
          <w:szCs w:val="24"/>
        </w:rPr>
        <w:t xml:space="preserve"> do total, conforme representação no gráfico abaixo:</w:t>
      </w:r>
    </w:p>
    <w:p w14:paraId="73488099" w14:textId="77777777" w:rsidR="00A6618A" w:rsidRDefault="00A6618A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3F7A6DB6" w14:textId="77777777" w:rsidR="00A6618A" w:rsidRDefault="008B75A5">
      <w:pPr>
        <w:pStyle w:val="Legenda"/>
        <w:jc w:val="center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Figura </w:t>
      </w:r>
      <w:r>
        <w:rPr>
          <w:color w:val="auto"/>
          <w:sz w:val="22"/>
          <w:szCs w:val="22"/>
        </w:rPr>
        <w:fldChar w:fldCharType="begin"/>
      </w:r>
      <w:r>
        <w:rPr>
          <w:color w:val="auto"/>
          <w:sz w:val="22"/>
          <w:szCs w:val="22"/>
        </w:rPr>
        <w:instrText xml:space="preserve"> SEQ Figura \* ARABIC </w:instrText>
      </w:r>
      <w:r>
        <w:rPr>
          <w:color w:val="auto"/>
          <w:sz w:val="22"/>
          <w:szCs w:val="22"/>
        </w:rPr>
        <w:fldChar w:fldCharType="separate"/>
      </w:r>
      <w:r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fldChar w:fldCharType="end"/>
      </w:r>
      <w:r>
        <w:rPr>
          <w:color w:val="auto"/>
          <w:sz w:val="22"/>
          <w:szCs w:val="22"/>
        </w:rPr>
        <w:t>: Estudantes que pa</w:t>
      </w:r>
      <w:r>
        <w:rPr>
          <w:color w:val="auto"/>
          <w:sz w:val="22"/>
          <w:szCs w:val="22"/>
        </w:rPr>
        <w:t>rticiparam nas atividades de extensão no ano de 2022</w:t>
      </w:r>
    </w:p>
    <w:p w14:paraId="56CFA9F8" w14:textId="77777777" w:rsidR="00A6618A" w:rsidRDefault="008B75A5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4E5B87E8" wp14:editId="28799EDB">
            <wp:extent cx="4572000" cy="2743200"/>
            <wp:effectExtent l="0" t="0" r="0" b="0"/>
            <wp:docPr id="320402637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7B87A8A" w14:textId="77777777" w:rsidR="00A6618A" w:rsidRDefault="00A6618A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7B41EC1A" w14:textId="77777777" w:rsidR="00A6618A" w:rsidRDefault="008B75A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realidade apresentada sobre pequena participação estudantil nas ações de Extensão não é um problema específico da URCA, também ocorre nas universidades brasileiras. Essa questão levou o Fórum de Pró</w:t>
      </w:r>
      <w:r>
        <w:rPr>
          <w:rFonts w:ascii="Arial" w:eastAsia="Times New Roman" w:hAnsi="Arial" w:cs="Arial"/>
          <w:sz w:val="24"/>
          <w:szCs w:val="24"/>
        </w:rPr>
        <w:t xml:space="preserve">-Reitores de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Extensão das Instituições Públicas de Educação Superior Brasileiras - FORPROEX construir política nacional voltada para valorização da Extensão a ser considerada pela sua dimensão formativa. De acordo com documento do FORPROEX, </w:t>
      </w:r>
    </w:p>
    <w:p w14:paraId="2B0B97E9" w14:textId="77777777" w:rsidR="00A6618A" w:rsidRDefault="008B75A5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atividades </w:t>
      </w:r>
      <w:r>
        <w:rPr>
          <w:rFonts w:ascii="Arial" w:hAnsi="Arial" w:cs="Arial"/>
          <w:sz w:val="20"/>
          <w:szCs w:val="20"/>
        </w:rPr>
        <w:t>de Extensão Universitária constituem aportes decisivos à formação do estudante, seja pela ampliação do universo de referência que ensejam, seja pelo contato direto com as grandes questões contemporâneas que possibilitam. Esses resultados permitem o enrique</w:t>
      </w:r>
      <w:r>
        <w:rPr>
          <w:rFonts w:ascii="Arial" w:hAnsi="Arial" w:cs="Arial"/>
          <w:sz w:val="20"/>
          <w:szCs w:val="20"/>
        </w:rPr>
        <w:t>cimento da experiência discente em termos teóricos e metodológicos, ao mesmo tempo em que abrem espaços para reafirmação e materialização dos compromissos éticos e solidários da Universidade Pública brasileira</w:t>
      </w:r>
      <w:r>
        <w:rPr>
          <w:rStyle w:val="Refdenotaderodap"/>
          <w:rFonts w:ascii="Arial" w:hAnsi="Arial" w:cs="Arial"/>
          <w:sz w:val="20"/>
          <w:szCs w:val="20"/>
        </w:rPr>
        <w:footnoteReference w:id="5"/>
      </w:r>
      <w:r>
        <w:rPr>
          <w:rFonts w:ascii="Arial" w:hAnsi="Arial" w:cs="Arial"/>
          <w:sz w:val="20"/>
          <w:szCs w:val="20"/>
        </w:rPr>
        <w:t>.</w:t>
      </w:r>
    </w:p>
    <w:p w14:paraId="76CF7FDC" w14:textId="77777777" w:rsidR="00A6618A" w:rsidRDefault="00A6618A">
      <w:pPr>
        <w:spacing w:after="0" w:line="240" w:lineRule="auto"/>
        <w:ind w:left="2268"/>
        <w:jc w:val="both"/>
        <w:rPr>
          <w:rFonts w:ascii="Arial" w:eastAsia="Times New Roman" w:hAnsi="Arial" w:cs="Arial"/>
          <w:sz w:val="24"/>
          <w:szCs w:val="24"/>
        </w:rPr>
      </w:pPr>
    </w:p>
    <w:p w14:paraId="1169204C" w14:textId="77777777" w:rsidR="00A6618A" w:rsidRDefault="008B75A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política levou as Instituições de Ensino</w:t>
      </w:r>
      <w:r>
        <w:rPr>
          <w:rFonts w:ascii="Arial" w:eastAsia="Times New Roman" w:hAnsi="Arial" w:cs="Arial"/>
          <w:sz w:val="24"/>
          <w:szCs w:val="24"/>
        </w:rPr>
        <w:t xml:space="preserve"> Superior trilharem o caminho da </w:t>
      </w:r>
      <w:r>
        <w:rPr>
          <w:rFonts w:ascii="Arial" w:eastAsia="Times New Roman" w:hAnsi="Arial" w:cs="Arial"/>
          <w:b/>
          <w:bCs/>
          <w:sz w:val="24"/>
          <w:szCs w:val="24"/>
        </w:rPr>
        <w:t>Curricularização da Extensão e</w:t>
      </w:r>
      <w:r>
        <w:rPr>
          <w:rFonts w:ascii="Arial" w:eastAsia="Times New Roman" w:hAnsi="Arial" w:cs="Arial"/>
          <w:sz w:val="24"/>
          <w:szCs w:val="24"/>
        </w:rPr>
        <w:t xml:space="preserve"> fundamenta-se: no </w:t>
      </w:r>
      <w:r>
        <w:rPr>
          <w:rFonts w:ascii="Arial" w:eastAsia="Times New Roman" w:hAnsi="Arial" w:cs="Arial"/>
          <w:b/>
          <w:bCs/>
          <w:sz w:val="24"/>
          <w:szCs w:val="24"/>
        </w:rPr>
        <w:t>Art. 207</w:t>
      </w:r>
      <w:r>
        <w:rPr>
          <w:rFonts w:ascii="Arial" w:eastAsia="Times New Roman" w:hAnsi="Arial" w:cs="Arial"/>
          <w:sz w:val="24"/>
          <w:szCs w:val="24"/>
        </w:rPr>
        <w:t xml:space="preserve"> da Constituição da República Federativa do Brasil que reza ser a Extensão um dos eixos do tripé ensino, pesquisa e extensão, devendo estes “obedecer ao princípio de </w:t>
      </w:r>
      <w:r>
        <w:rPr>
          <w:rFonts w:ascii="Arial" w:eastAsia="Times New Roman" w:hAnsi="Arial" w:cs="Arial"/>
          <w:sz w:val="24"/>
          <w:szCs w:val="24"/>
        </w:rPr>
        <w:t xml:space="preserve">Indissociabilidade”; na meta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12.7 </w:t>
      </w:r>
      <w:r>
        <w:rPr>
          <w:rFonts w:ascii="Arial" w:eastAsia="Times New Roman" w:hAnsi="Arial" w:cs="Arial"/>
          <w:sz w:val="24"/>
          <w:szCs w:val="24"/>
        </w:rPr>
        <w:t xml:space="preserve">da Lei </w:t>
      </w:r>
      <w:r>
        <w:rPr>
          <w:rFonts w:ascii="Arial" w:eastAsia="Times New Roman" w:hAnsi="Arial" w:cs="Arial"/>
          <w:b/>
          <w:bCs/>
          <w:sz w:val="24"/>
          <w:szCs w:val="24"/>
        </w:rPr>
        <w:t>13.005/2014</w:t>
      </w:r>
      <w:r>
        <w:rPr>
          <w:rFonts w:ascii="Arial" w:eastAsia="Times New Roman" w:hAnsi="Arial" w:cs="Arial"/>
          <w:sz w:val="24"/>
          <w:szCs w:val="24"/>
        </w:rPr>
        <w:t xml:space="preserve"> que aprova o Plano Nacional de Educação (PNE), meta que determina assegurar no mínimo 10% do total do total de créditos curriculares exigidos para graduação, às atividades de extensão; na  </w:t>
      </w:r>
      <w:r>
        <w:rPr>
          <w:rFonts w:ascii="Arial" w:hAnsi="Arial" w:cs="Arial"/>
          <w:b/>
          <w:bCs/>
          <w:sz w:val="24"/>
          <w:szCs w:val="24"/>
        </w:rPr>
        <w:t>Resolução Nº 07, de 18 de dezembro de 2018</w:t>
      </w:r>
      <w:r>
        <w:rPr>
          <w:rFonts w:ascii="Arial" w:hAnsi="Arial" w:cs="Arial"/>
          <w:sz w:val="24"/>
          <w:szCs w:val="24"/>
        </w:rPr>
        <w:t>, do Conselho Nacional de Educação/Ministério da Educação, que estabelece as Diretrizes para a Extensão na Educação Superior Brasileira.</w:t>
      </w:r>
    </w:p>
    <w:p w14:paraId="0908C361" w14:textId="034DE017" w:rsidR="00A6618A" w:rsidRDefault="008B75A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="001611E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niversidade </w:t>
      </w:r>
      <w:r w:rsidR="001611E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egional do </w:t>
      </w:r>
      <w:r w:rsidR="001611E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ariri foi construída coletivamente a resolução nº 16 /2022- CEPE - </w:t>
      </w:r>
      <w:proofErr w:type="gramStart"/>
      <w:r>
        <w:rPr>
          <w:rFonts w:ascii="Arial" w:hAnsi="Arial" w:cs="Arial"/>
          <w:sz w:val="24"/>
          <w:szCs w:val="24"/>
        </w:rPr>
        <w:t>URCA  que</w:t>
      </w:r>
      <w:proofErr w:type="gramEnd"/>
      <w:r>
        <w:rPr>
          <w:rFonts w:ascii="Arial" w:hAnsi="Arial" w:cs="Arial"/>
          <w:sz w:val="24"/>
          <w:szCs w:val="24"/>
        </w:rPr>
        <w:t xml:space="preserve"> dispõe sobre a inserção das ações de extensão universitária nos currículos dos cursos de graduação. Portanto </w:t>
      </w:r>
      <w:r>
        <w:rPr>
          <w:rFonts w:ascii="Arial" w:eastAsia="Times New Roman" w:hAnsi="Arial" w:cs="Arial"/>
          <w:sz w:val="24"/>
          <w:szCs w:val="24"/>
        </w:rPr>
        <w:t>diante deste panorama apresentado, o processo de curricularização poss</w:t>
      </w:r>
      <w:r>
        <w:rPr>
          <w:rFonts w:ascii="Arial" w:eastAsia="Times New Roman" w:hAnsi="Arial" w:cs="Arial"/>
          <w:sz w:val="24"/>
          <w:szCs w:val="24"/>
        </w:rPr>
        <w:t xml:space="preserve">ibilitará a participação gradativa de todos os estudantes dos cursos de graduação nas ações de extensão que terá início a partir de 2023. </w:t>
      </w:r>
    </w:p>
    <w:p w14:paraId="303C0375" w14:textId="77777777" w:rsidR="00A6618A" w:rsidRDefault="00A6618A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095D6138" w14:textId="77777777" w:rsidR="00A6618A" w:rsidRDefault="008B75A5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Resultados apresentados por áreas temáticas </w:t>
      </w:r>
    </w:p>
    <w:p w14:paraId="5E676048" w14:textId="705CD119" w:rsidR="00A6618A" w:rsidRDefault="008B75A5">
      <w:pPr>
        <w:spacing w:after="0" w:line="360" w:lineRule="auto"/>
        <w:ind w:firstLine="567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e localidades beneficiadas com as ações de Extensão</w:t>
      </w:r>
      <w:r w:rsidR="001611EB">
        <w:rPr>
          <w:rFonts w:ascii="Arial" w:eastAsia="Times New Roman" w:hAnsi="Arial" w:cs="Arial"/>
          <w:b/>
          <w:bCs/>
          <w:sz w:val="28"/>
          <w:szCs w:val="28"/>
        </w:rPr>
        <w:t xml:space="preserve"> no ano de 2022</w:t>
      </w:r>
    </w:p>
    <w:p w14:paraId="3EE59A2D" w14:textId="77777777" w:rsidR="00A6618A" w:rsidRDefault="00A6618A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09587908" w14:textId="77777777" w:rsidR="00A6618A" w:rsidRDefault="008B75A5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Co</w:t>
      </w:r>
      <w:r>
        <w:rPr>
          <w:rFonts w:ascii="Arial" w:eastAsia="Times New Roman" w:hAnsi="Arial" w:cs="Arial"/>
          <w:sz w:val="24"/>
          <w:szCs w:val="24"/>
        </w:rPr>
        <w:t xml:space="preserve">nforme o FORPROEX todas as ações de Extensão devem ser classificadas segundo </w:t>
      </w:r>
      <w:r>
        <w:rPr>
          <w:rFonts w:ascii="Arial" w:eastAsia="Times New Roman" w:hAnsi="Arial" w:cs="Arial"/>
          <w:b/>
          <w:bCs/>
          <w:sz w:val="24"/>
          <w:szCs w:val="24"/>
        </w:rPr>
        <w:t>áreas temáticas</w:t>
      </w:r>
      <w:r>
        <w:rPr>
          <w:rStyle w:val="Refdenotaderodap"/>
          <w:rFonts w:ascii="Arial" w:eastAsia="Times New Roman" w:hAnsi="Arial" w:cs="Arial"/>
          <w:b/>
          <w:bCs/>
          <w:sz w:val="24"/>
          <w:szCs w:val="24"/>
        </w:rPr>
        <w:footnoteReference w:id="6"/>
      </w:r>
      <w:r>
        <w:rPr>
          <w:rFonts w:ascii="Arial" w:eastAsia="Times New Roman" w:hAnsi="Arial" w:cs="Arial"/>
          <w:sz w:val="24"/>
          <w:szCs w:val="24"/>
        </w:rPr>
        <w:t xml:space="preserve"> de modo a favorecer os estudos e relatórios sobre a produção. Neste sentido os resultados aqui apresentados demonstram as áreas de maior atuação da URCA como tam</w:t>
      </w:r>
      <w:r>
        <w:rPr>
          <w:rFonts w:ascii="Arial" w:eastAsia="Times New Roman" w:hAnsi="Arial" w:cs="Arial"/>
          <w:sz w:val="24"/>
          <w:szCs w:val="24"/>
        </w:rPr>
        <w:t xml:space="preserve">bém as áreas que necessitam ser potencializadas. </w:t>
      </w:r>
    </w:p>
    <w:p w14:paraId="2227E2BA" w14:textId="77777777" w:rsidR="00A6618A" w:rsidRDefault="008B75A5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 acordo com os gráficos que apresentam quantitativos das ações realizadas pelos Projetos e Programas, a área da Saúde aparece à frente das demais áreas temáticas, Educação em segundo lugar nas ações reali</w:t>
      </w:r>
      <w:r>
        <w:rPr>
          <w:rFonts w:ascii="Arial" w:eastAsia="Times New Roman" w:hAnsi="Arial" w:cs="Arial"/>
          <w:sz w:val="24"/>
          <w:szCs w:val="24"/>
        </w:rPr>
        <w:t>zadas pelos Projetos e Cultura em segundo lugar nas ações realizadas por meio dos Programas. As demais áreas carecem maior desempenho.</w:t>
      </w:r>
    </w:p>
    <w:p w14:paraId="6F31C399" w14:textId="77777777" w:rsidR="00A6618A" w:rsidRDefault="00A6618A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6329B01A" w14:textId="77777777" w:rsidR="00A6618A" w:rsidRDefault="00A6618A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14:paraId="5155C876" w14:textId="04E9BE5C" w:rsidR="00A6618A" w:rsidRDefault="008B75A5">
      <w:pPr>
        <w:pStyle w:val="Legenda"/>
        <w:jc w:val="center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Figura </w:t>
      </w:r>
      <w:r>
        <w:rPr>
          <w:color w:val="auto"/>
          <w:sz w:val="22"/>
          <w:szCs w:val="22"/>
        </w:rPr>
        <w:fldChar w:fldCharType="begin"/>
      </w:r>
      <w:r>
        <w:rPr>
          <w:color w:val="auto"/>
          <w:sz w:val="22"/>
          <w:szCs w:val="22"/>
        </w:rPr>
        <w:instrText xml:space="preserve"> SEQ Figura \* ARABIC </w:instrText>
      </w:r>
      <w:r>
        <w:rPr>
          <w:color w:val="auto"/>
          <w:sz w:val="22"/>
          <w:szCs w:val="22"/>
        </w:rPr>
        <w:fldChar w:fldCharType="separate"/>
      </w:r>
      <w:r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fldChar w:fldCharType="end"/>
      </w:r>
      <w:r>
        <w:rPr>
          <w:color w:val="auto"/>
          <w:sz w:val="22"/>
          <w:szCs w:val="22"/>
        </w:rPr>
        <w:t xml:space="preserve">: Percentual de ações por Áreas temáticas </w:t>
      </w:r>
      <w:r w:rsidR="001611EB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Projetos</w:t>
      </w:r>
      <w:r w:rsidR="001611EB">
        <w:rPr>
          <w:color w:val="auto"/>
          <w:sz w:val="22"/>
          <w:szCs w:val="22"/>
        </w:rPr>
        <w:t xml:space="preserve"> em 2022</w:t>
      </w:r>
    </w:p>
    <w:p w14:paraId="62F829BC" w14:textId="77777777" w:rsidR="00A6618A" w:rsidRDefault="008B75A5">
      <w:pPr>
        <w:spacing w:after="0" w:line="360" w:lineRule="auto"/>
        <w:ind w:left="709" w:firstLine="11"/>
        <w:jc w:val="both"/>
        <w:rPr>
          <w:rFonts w:ascii="Arial" w:eastAsia="Times New Roman" w:hAnsi="Arial" w:cs="Arial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5CD00DA6" wp14:editId="34A88E32">
            <wp:extent cx="4048125" cy="2562225"/>
            <wp:effectExtent l="0" t="0" r="9525" b="9525"/>
            <wp:docPr id="65297868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5660D73" w14:textId="77777777" w:rsidR="00A6618A" w:rsidRDefault="00A6618A">
      <w:pPr>
        <w:pStyle w:val="Legenda"/>
        <w:jc w:val="center"/>
        <w:rPr>
          <w:color w:val="auto"/>
          <w:sz w:val="22"/>
          <w:szCs w:val="22"/>
        </w:rPr>
      </w:pPr>
    </w:p>
    <w:p w14:paraId="171EF429" w14:textId="77777777" w:rsidR="00A6618A" w:rsidRDefault="008B75A5">
      <w:pPr>
        <w:pStyle w:val="Legenda"/>
        <w:jc w:val="center"/>
        <w:rPr>
          <w:rFonts w:ascii="Arial" w:eastAsia="Times New Roman" w:hAnsi="Arial" w:cs="Arial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Figura </w:t>
      </w:r>
      <w:r>
        <w:rPr>
          <w:color w:val="auto"/>
          <w:sz w:val="22"/>
          <w:szCs w:val="22"/>
        </w:rPr>
        <w:fldChar w:fldCharType="begin"/>
      </w:r>
      <w:r>
        <w:rPr>
          <w:color w:val="auto"/>
          <w:sz w:val="22"/>
          <w:szCs w:val="22"/>
        </w:rPr>
        <w:instrText xml:space="preserve"> SEQ Figura \* ARABIC </w:instrText>
      </w:r>
      <w:r>
        <w:rPr>
          <w:color w:val="auto"/>
          <w:sz w:val="22"/>
          <w:szCs w:val="22"/>
        </w:rPr>
        <w:fldChar w:fldCharType="separate"/>
      </w:r>
      <w:r>
        <w:rPr>
          <w:color w:val="auto"/>
          <w:sz w:val="22"/>
          <w:szCs w:val="22"/>
        </w:rPr>
        <w:t>5</w:t>
      </w:r>
      <w:r>
        <w:rPr>
          <w:color w:val="auto"/>
          <w:sz w:val="22"/>
          <w:szCs w:val="22"/>
        </w:rPr>
        <w:fldChar w:fldCharType="end"/>
      </w:r>
      <w:r>
        <w:rPr>
          <w:color w:val="auto"/>
          <w:sz w:val="22"/>
          <w:szCs w:val="22"/>
        </w:rPr>
        <w:t>: Percentual de ações por Áreas temáticas-Programas</w:t>
      </w:r>
    </w:p>
    <w:p w14:paraId="19897448" w14:textId="77777777" w:rsidR="00A6618A" w:rsidRDefault="008B75A5">
      <w:pPr>
        <w:spacing w:after="0" w:line="360" w:lineRule="auto"/>
        <w:ind w:left="709" w:firstLine="11"/>
        <w:jc w:val="both"/>
        <w:rPr>
          <w:rFonts w:ascii="Arial" w:eastAsia="Times New Roman" w:hAnsi="Arial" w:cs="Arial"/>
          <w:sz w:val="24"/>
          <w:szCs w:val="24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4163D56D" wp14:editId="2DFF9875">
            <wp:extent cx="4048125" cy="2305050"/>
            <wp:effectExtent l="0" t="0" r="9525" b="0"/>
            <wp:docPr id="940929257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93EA827" w14:textId="77777777" w:rsidR="00A6618A" w:rsidRDefault="00A6618A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03C5AA47" w14:textId="77777777" w:rsidR="00A6618A" w:rsidRDefault="008B75A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As ações foram vivenciadas dentro do raio de abrangência da URCA, nos municípios das regiões - Cariri e Centro Sul, bem como nos estados vizinhos: Pernambuco e Piauí.  </w:t>
      </w:r>
    </w:p>
    <w:p w14:paraId="51220B8E" w14:textId="77777777" w:rsidR="00A6618A" w:rsidRDefault="008B75A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 aco</w:t>
      </w:r>
      <w:r>
        <w:rPr>
          <w:rFonts w:ascii="Arial" w:eastAsia="Times New Roman" w:hAnsi="Arial" w:cs="Arial"/>
          <w:sz w:val="24"/>
          <w:szCs w:val="24"/>
        </w:rPr>
        <w:t xml:space="preserve">rdo com os dados informados, as ações extensionistas atenderam </w:t>
      </w:r>
      <w:r>
        <w:rPr>
          <w:rFonts w:ascii="Arial" w:eastAsia="Times New Roman" w:hAnsi="Arial" w:cs="Arial"/>
          <w:b/>
          <w:bCs/>
          <w:sz w:val="24"/>
          <w:szCs w:val="24"/>
        </w:rPr>
        <w:t>29</w:t>
      </w:r>
      <w:r>
        <w:rPr>
          <w:rFonts w:ascii="Arial" w:eastAsia="Times New Roman" w:hAnsi="Arial" w:cs="Arial"/>
          <w:sz w:val="24"/>
          <w:szCs w:val="24"/>
        </w:rPr>
        <w:t xml:space="preserve"> municípios da região do Cariri, com maior concentração em Barbalha, Crato e Juazeiro do Norte, seguidos de Campos Sales, Missão Velha e Nova Olinda, verifica-se que nas localidades destacada</w:t>
      </w:r>
      <w:r>
        <w:rPr>
          <w:rFonts w:ascii="Arial" w:eastAsia="Times New Roman" w:hAnsi="Arial" w:cs="Arial"/>
          <w:sz w:val="24"/>
          <w:szCs w:val="24"/>
        </w:rPr>
        <w:t>s com exceção de Santana do Cariri e Nova Olinda, funcionam Campi Universitários. Contudo as duas últimas  localidades mencionadas, possuem instituições de grande importância para os estudos acadêmicos, e desempenham ações extensionistas: o Museu de paleon</w:t>
      </w:r>
      <w:r>
        <w:rPr>
          <w:rFonts w:ascii="Arial" w:eastAsia="Times New Roman" w:hAnsi="Arial" w:cs="Arial"/>
          <w:sz w:val="24"/>
          <w:szCs w:val="24"/>
        </w:rPr>
        <w:t>tologia pertencente a URCA e o Museu do Homem Kariri, instituição parceira.</w:t>
      </w:r>
    </w:p>
    <w:p w14:paraId="22223568" w14:textId="0AA71CA2" w:rsidR="00A6618A" w:rsidRDefault="008B75A5">
      <w:pPr>
        <w:pStyle w:val="Legenda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Figura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SEQ Figura \* ARABIC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: Municípios beneficiados no Cariri</w:t>
      </w:r>
      <w:r w:rsidR="001611EB">
        <w:rPr>
          <w:rFonts w:ascii="Arial" w:hAnsi="Arial" w:cs="Arial"/>
          <w:sz w:val="22"/>
          <w:szCs w:val="22"/>
        </w:rPr>
        <w:t xml:space="preserve"> - 2022</w:t>
      </w:r>
    </w:p>
    <w:p w14:paraId="1567A310" w14:textId="77777777" w:rsidR="00A6618A" w:rsidRDefault="008B75A5">
      <w:pPr>
        <w:spacing w:after="0" w:line="360" w:lineRule="auto"/>
        <w:ind w:left="709" w:firstLine="11"/>
        <w:jc w:val="both"/>
        <w:rPr>
          <w:rFonts w:ascii="Arial" w:eastAsia="Times New Roman" w:hAnsi="Arial" w:cs="Arial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41887C86" wp14:editId="2C1DE71D">
            <wp:extent cx="4572000" cy="2743200"/>
            <wp:effectExtent l="0" t="0" r="0" b="0"/>
            <wp:docPr id="72507060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74CD7" w14:textId="77777777" w:rsidR="00A6618A" w:rsidRDefault="008B75A5">
      <w:pPr>
        <w:spacing w:after="0" w:line="360" w:lineRule="auto"/>
        <w:ind w:left="142" w:firstLine="57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Na Região Centro Sul, Iguatu concentrou o maior número de ações sobretudo pela presença física do Campus Universitário na localidade. </w:t>
      </w:r>
    </w:p>
    <w:p w14:paraId="1B7BBE82" w14:textId="7E6D9DF1" w:rsidR="00A6618A" w:rsidRDefault="008B75A5">
      <w:pPr>
        <w:pStyle w:val="Legenda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Figura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SEQ Figura \* ARABIC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: Municípios beneficiados no Centro Sul</w:t>
      </w:r>
      <w:r w:rsidR="001611EB">
        <w:rPr>
          <w:rFonts w:ascii="Arial" w:hAnsi="Arial" w:cs="Arial"/>
          <w:sz w:val="22"/>
          <w:szCs w:val="22"/>
        </w:rPr>
        <w:t>-2022</w:t>
      </w:r>
    </w:p>
    <w:p w14:paraId="75483201" w14:textId="77777777" w:rsidR="00A6618A" w:rsidRDefault="008B75A5">
      <w:pPr>
        <w:spacing w:after="0" w:line="360" w:lineRule="auto"/>
        <w:ind w:left="709" w:firstLine="11"/>
        <w:jc w:val="both"/>
        <w:rPr>
          <w:rFonts w:ascii="Arial" w:eastAsia="Times New Roman" w:hAnsi="Arial" w:cs="Arial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1238137D" wp14:editId="0C504E9F">
            <wp:extent cx="4572000" cy="2743200"/>
            <wp:effectExtent l="0" t="0" r="0" b="0"/>
            <wp:docPr id="208402652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DB333B7" w14:textId="77777777" w:rsidR="00A6618A" w:rsidRDefault="008B75A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Entre os estados alcançados pelas ações, o Ceará concentra o maior número seguido do Estado de Pernambuco. </w:t>
      </w:r>
    </w:p>
    <w:p w14:paraId="0ED3EE4B" w14:textId="77777777" w:rsidR="00A6618A" w:rsidRDefault="00A6618A">
      <w:pPr>
        <w:spacing w:after="0" w:line="360" w:lineRule="auto"/>
        <w:ind w:left="709" w:firstLine="11"/>
        <w:jc w:val="both"/>
        <w:rPr>
          <w:rFonts w:ascii="Arial" w:eastAsia="Times New Roman" w:hAnsi="Arial" w:cs="Arial"/>
          <w:sz w:val="24"/>
          <w:szCs w:val="24"/>
        </w:rPr>
      </w:pPr>
    </w:p>
    <w:p w14:paraId="73695BA1" w14:textId="77777777" w:rsidR="00A6618A" w:rsidRDefault="008B75A5">
      <w:pPr>
        <w:spacing w:after="0" w:line="360" w:lineRule="auto"/>
        <w:ind w:left="709" w:firstLine="1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Bolsas </w:t>
      </w:r>
    </w:p>
    <w:p w14:paraId="2BED2C05" w14:textId="77777777" w:rsidR="00A6618A" w:rsidRDefault="008B75A5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 Universidade disponibiliza bolsas por meio de chamadas públicas, distribuídas entre projetos e programas, sendo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270 </w:t>
      </w:r>
      <w:r>
        <w:rPr>
          <w:rFonts w:ascii="Arial" w:eastAsia="Times New Roman" w:hAnsi="Arial" w:cs="Arial"/>
          <w:sz w:val="24"/>
          <w:szCs w:val="24"/>
        </w:rPr>
        <w:t xml:space="preserve">(duzentos e setenta) </w:t>
      </w:r>
      <w:r>
        <w:rPr>
          <w:rFonts w:ascii="Arial" w:eastAsia="Times New Roman" w:hAnsi="Arial" w:cs="Arial"/>
          <w:sz w:val="24"/>
          <w:szCs w:val="24"/>
        </w:rPr>
        <w:t>pelo Programa B.Social,</w:t>
      </w:r>
      <w:r>
        <w:rPr>
          <w:rStyle w:val="Refdenotaderodap"/>
          <w:rFonts w:ascii="Arial" w:eastAsia="Times New Roman" w:hAnsi="Arial" w:cs="Arial"/>
          <w:b/>
          <w:bCs/>
          <w:sz w:val="24"/>
          <w:szCs w:val="24"/>
        </w:rPr>
        <w:footnoteReference w:id="7"/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31 </w:t>
      </w:r>
      <w:r>
        <w:rPr>
          <w:rFonts w:ascii="Arial" w:eastAsia="Times New Roman" w:hAnsi="Arial" w:cs="Arial"/>
          <w:sz w:val="24"/>
          <w:szCs w:val="24"/>
        </w:rPr>
        <w:t>(trinta e uma)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pelo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Programa de Extensão Tecnológica</w:t>
      </w:r>
      <w:r>
        <w:rPr>
          <w:rStyle w:val="Refdenotaderodap"/>
          <w:rFonts w:ascii="Arial" w:eastAsia="Times New Roman" w:hAnsi="Arial" w:cs="Arial"/>
          <w:sz w:val="24"/>
          <w:szCs w:val="24"/>
        </w:rPr>
        <w:footnoteReference w:id="8"/>
      </w:r>
      <w:r>
        <w:rPr>
          <w:rFonts w:ascii="Arial" w:eastAsia="Times New Roman" w:hAnsi="Arial" w:cs="Arial"/>
          <w:sz w:val="24"/>
          <w:szCs w:val="24"/>
        </w:rPr>
        <w:t xml:space="preserve"> e </w:t>
      </w:r>
      <w:r>
        <w:rPr>
          <w:rFonts w:ascii="Arial" w:eastAsia="Times New Roman" w:hAnsi="Arial" w:cs="Arial"/>
          <w:b/>
          <w:bCs/>
          <w:sz w:val="24"/>
          <w:szCs w:val="24"/>
        </w:rPr>
        <w:t>12</w:t>
      </w:r>
      <w:r>
        <w:rPr>
          <w:rFonts w:ascii="Arial" w:eastAsia="Times New Roman" w:hAnsi="Arial" w:cs="Arial"/>
          <w:sz w:val="24"/>
          <w:szCs w:val="24"/>
        </w:rPr>
        <w:t xml:space="preserve"> pelo Programa Pibex Júnior,</w:t>
      </w:r>
      <w:r>
        <w:rPr>
          <w:rStyle w:val="Refdenotaderodap"/>
          <w:rFonts w:ascii="Arial" w:eastAsia="Times New Roman" w:hAnsi="Arial" w:cs="Arial"/>
          <w:sz w:val="24"/>
          <w:szCs w:val="24"/>
        </w:rPr>
        <w:footnoteReference w:id="9"/>
      </w:r>
      <w:r>
        <w:rPr>
          <w:rFonts w:ascii="Arial" w:eastAsia="Times New Roman" w:hAnsi="Arial" w:cs="Arial"/>
          <w:sz w:val="24"/>
          <w:szCs w:val="24"/>
        </w:rPr>
        <w:t xml:space="preserve"> totalizando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313 </w:t>
      </w:r>
      <w:r>
        <w:rPr>
          <w:rFonts w:ascii="Arial" w:eastAsia="Times New Roman" w:hAnsi="Arial" w:cs="Arial"/>
          <w:sz w:val="24"/>
          <w:szCs w:val="24"/>
        </w:rPr>
        <w:t>(trezentos e treze)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bolsas conforme gráfico:</w:t>
      </w:r>
    </w:p>
    <w:p w14:paraId="44BE9176" w14:textId="77777777" w:rsidR="00A6618A" w:rsidRDefault="008B75A5">
      <w:pPr>
        <w:pStyle w:val="Legenda"/>
        <w:jc w:val="center"/>
        <w:rPr>
          <w:rFonts w:ascii="Arial" w:hAnsi="Arial" w:cs="Arial"/>
          <w:sz w:val="22"/>
          <w:szCs w:val="22"/>
          <w14:ligatures w14:val="standardContextual"/>
        </w:rPr>
      </w:pPr>
      <w:r>
        <w:rPr>
          <w:rFonts w:ascii="Arial" w:hAnsi="Arial" w:cs="Arial"/>
          <w:sz w:val="22"/>
          <w:szCs w:val="22"/>
        </w:rPr>
        <w:t xml:space="preserve">Figura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SEQ Figura \* ARABIC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:  Modalidades de Bolsas</w:t>
      </w:r>
    </w:p>
    <w:p w14:paraId="5DDF26F2" w14:textId="77777777" w:rsidR="00A6618A" w:rsidRDefault="008B75A5">
      <w:pPr>
        <w:jc w:val="center"/>
        <w:rPr>
          <w14:ligatures w14:val="standardContextual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7FE4E3AD" wp14:editId="0AFF73B7">
            <wp:extent cx="4572000" cy="2743200"/>
            <wp:effectExtent l="0" t="0" r="0" b="0"/>
            <wp:docPr id="82829115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4E5EBE7" w14:textId="77777777" w:rsidR="00A6618A" w:rsidRDefault="00A6618A">
      <w:pPr>
        <w:jc w:val="center"/>
        <w:rPr>
          <w14:ligatures w14:val="standardContextual"/>
        </w:rPr>
      </w:pPr>
    </w:p>
    <w:p w14:paraId="1397DC88" w14:textId="77777777" w:rsidR="00A6618A" w:rsidRDefault="008B75A5">
      <w:pPr>
        <w:rPr>
          <w:rFonts w:ascii="Arial" w:hAnsi="Arial" w:cs="Arial"/>
          <w:b/>
          <w:bCs/>
          <w:sz w:val="24"/>
          <w:szCs w:val="24"/>
          <w14:ligatures w14:val="standardContextual"/>
        </w:rPr>
      </w:pPr>
      <w:r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Desafios </w:t>
      </w:r>
    </w:p>
    <w:p w14:paraId="43F3F831" w14:textId="0AC9BB0A" w:rsidR="00A6618A" w:rsidRDefault="008B75A5">
      <w:pPr>
        <w:spacing w:line="360" w:lineRule="auto"/>
        <w:ind w:firstLine="567"/>
        <w:jc w:val="both"/>
      </w:pPr>
      <w:r>
        <w:rPr>
          <w:rFonts w:ascii="Arial" w:hAnsi="Arial" w:cs="Arial"/>
          <w:sz w:val="24"/>
          <w:szCs w:val="24"/>
          <w14:ligatures w14:val="standardContextual"/>
        </w:rPr>
        <w:t>Muita coisa  ainda tem que ser feita, e será de forma gradativa, de acordo com as propostas de cada curso. Sabemos que é um processo que precisa estar em constante avaliação, mas o maior desafio encontra-se no campo do financiamento para a extens</w:t>
      </w:r>
      <w:r>
        <w:rPr>
          <w:rFonts w:ascii="Arial" w:hAnsi="Arial" w:cs="Arial"/>
          <w:sz w:val="24"/>
          <w:szCs w:val="24"/>
          <w14:ligatures w14:val="standardContextual"/>
        </w:rPr>
        <w:t>ão, aporte financeiro para além das bolsas. Nos ultimos anos o FORPROEX vem debatendo sobre esta necessidade orçamentária que deve ser regular por meio de política governamental para todas as Instituições de Ensino Superior Brasileiras</w:t>
      </w:r>
      <w:r>
        <w:t>.</w:t>
      </w:r>
    </w:p>
    <w:p w14:paraId="78193417" w14:textId="77777777" w:rsidR="00904CCB" w:rsidRDefault="00904CCB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  <w14:ligatures w14:val="standardContextual"/>
        </w:rPr>
      </w:pPr>
    </w:p>
    <w:p w14:paraId="01853EC8" w14:textId="77777777" w:rsidR="00A6618A" w:rsidRPr="00904CCB" w:rsidRDefault="008B75A5">
      <w:pPr>
        <w:spacing w:after="0" w:line="36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904CCB">
        <w:rPr>
          <w:rFonts w:ascii="Arial" w:eastAsia="Times New Roman" w:hAnsi="Arial" w:cs="Arial"/>
          <w:sz w:val="24"/>
          <w:szCs w:val="24"/>
        </w:rPr>
        <w:t xml:space="preserve">Sandra Nancy Ramos </w:t>
      </w:r>
      <w:r w:rsidRPr="00904CCB">
        <w:rPr>
          <w:rFonts w:ascii="Arial" w:eastAsia="Times New Roman" w:hAnsi="Arial" w:cs="Arial"/>
          <w:sz w:val="24"/>
          <w:szCs w:val="24"/>
        </w:rPr>
        <w:t>Freire Bezerra</w:t>
      </w:r>
    </w:p>
    <w:p w14:paraId="6FC61D00" w14:textId="77777777" w:rsidR="00A6618A" w:rsidRPr="00904CCB" w:rsidRDefault="008B75A5">
      <w:pPr>
        <w:spacing w:after="0" w:line="36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904CCB">
        <w:rPr>
          <w:rFonts w:ascii="Arial" w:eastAsia="Times New Roman" w:hAnsi="Arial" w:cs="Arial"/>
          <w:sz w:val="24"/>
          <w:szCs w:val="24"/>
        </w:rPr>
        <w:t>Pró-Reitora de Extensão da URCA</w:t>
      </w:r>
    </w:p>
    <w:p w14:paraId="1E53787F" w14:textId="77777777" w:rsidR="00A6618A" w:rsidRDefault="00A6618A">
      <w:pPr>
        <w:ind w:firstLine="567"/>
      </w:pPr>
    </w:p>
    <w:p w14:paraId="034269F2" w14:textId="77777777" w:rsidR="00A6618A" w:rsidRDefault="00A6618A"/>
    <w:sectPr w:rsidR="00A661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AF891" w14:textId="77777777" w:rsidR="008B75A5" w:rsidRDefault="008B75A5">
      <w:pPr>
        <w:spacing w:line="240" w:lineRule="auto"/>
      </w:pPr>
      <w:r>
        <w:separator/>
      </w:r>
    </w:p>
  </w:endnote>
  <w:endnote w:type="continuationSeparator" w:id="0">
    <w:p w14:paraId="181C7A0B" w14:textId="77777777" w:rsidR="008B75A5" w:rsidRDefault="008B75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40ABB" w14:textId="77777777" w:rsidR="008B75A5" w:rsidRDefault="008B75A5">
      <w:pPr>
        <w:spacing w:after="0"/>
      </w:pPr>
      <w:r>
        <w:separator/>
      </w:r>
    </w:p>
  </w:footnote>
  <w:footnote w:type="continuationSeparator" w:id="0">
    <w:p w14:paraId="7AE5860E" w14:textId="77777777" w:rsidR="008B75A5" w:rsidRDefault="008B75A5">
      <w:pPr>
        <w:spacing w:after="0"/>
      </w:pPr>
      <w:r>
        <w:continuationSeparator/>
      </w:r>
    </w:p>
  </w:footnote>
  <w:footnote w:id="1">
    <w:p w14:paraId="2FEB351B" w14:textId="77777777" w:rsidR="00A6618A" w:rsidRDefault="008B75A5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</w:rPr>
        <w:t>DEUS, Sandra de. 2013, p.12 in: Forum de Pró-reitores de Extensão das Instituições Públicas de Educação Superior Brasileiras. Comissão Permanente de Avaliação da Extensão. Avaliação da Extensão Universitária: práticas e discussões da Comissão Permanente de</w:t>
      </w:r>
      <w:r>
        <w:rPr>
          <w:rFonts w:ascii="Arial" w:hAnsi="Arial" w:cs="Arial"/>
        </w:rPr>
        <w:t xml:space="preserve"> Avaliação da Extensão/ Organização: Maria das Dores Pimentel Nogueira; textos: Sônia Regina Mendes dos Santos...[et al.] – Belo Horizonte: </w:t>
      </w:r>
    </w:p>
    <w:p w14:paraId="6D611676" w14:textId="77777777" w:rsidR="00A6618A" w:rsidRDefault="008B75A5">
      <w:pPr>
        <w:pStyle w:val="Textodenotaderodap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FORPROEX/CPAE; PROEX/UFMG,2013. (Coleção Extensão Universitária;8)</w:t>
      </w:r>
    </w:p>
  </w:footnote>
  <w:footnote w:id="2">
    <w:p w14:paraId="40A79BE9" w14:textId="77777777" w:rsidR="00A6618A" w:rsidRDefault="008B75A5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rPr>
          <w:rFonts w:ascii="Arial" w:hAnsi="Arial" w:cs="Arial"/>
        </w:rPr>
        <w:t xml:space="preserve"> </w:t>
      </w:r>
      <w:hyperlink r:id="rId1" w:history="1">
        <w:r>
          <w:rPr>
            <w:rStyle w:val="Hyperlink"/>
            <w:rFonts w:ascii="Arial" w:hAnsi="Arial" w:cs="Arial"/>
          </w:rPr>
          <w:t>https://www.ufmg.br/proex/renex/images/documentos/2012-07-13-Politica-Nacional-de-Extensao.pdf</w:t>
        </w:r>
      </w:hyperlink>
      <w:r>
        <w:rPr>
          <w:rFonts w:ascii="Arial" w:hAnsi="Arial" w:cs="Arial"/>
        </w:rPr>
        <w:t xml:space="preserve"> p.21</w:t>
      </w:r>
    </w:p>
  </w:footnote>
  <w:footnote w:id="3">
    <w:p w14:paraId="79151AF9" w14:textId="77777777" w:rsidR="00A6618A" w:rsidRDefault="008B75A5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hyperlink r:id="rId2" w:history="1">
        <w:r>
          <w:rPr>
            <w:rStyle w:val="Hyperlink"/>
            <w:rFonts w:ascii="Arial" w:hAnsi="Arial" w:cs="Arial"/>
          </w:rPr>
          <w:t>https://www.ufmg.br/proex/renex/images/documentos/2012-07-13-Politica-Nacional-de-Extensao.pdf</w:t>
        </w:r>
      </w:hyperlink>
      <w:r>
        <w:rPr>
          <w:rFonts w:ascii="Arial" w:hAnsi="Arial" w:cs="Arial"/>
        </w:rPr>
        <w:t xml:space="preserve"> p.22</w:t>
      </w:r>
    </w:p>
  </w:footnote>
  <w:footnote w:id="4">
    <w:p w14:paraId="39B8C0C9" w14:textId="77777777" w:rsidR="00A6618A" w:rsidRDefault="008B75A5">
      <w:pPr>
        <w:pStyle w:val="Textodenotaderodap"/>
      </w:pPr>
      <w:r>
        <w:rPr>
          <w:rStyle w:val="Refdenotaderodap"/>
        </w:rPr>
        <w:footnoteRef/>
      </w:r>
      <w:r>
        <w:rPr>
          <w:rFonts w:ascii="Arial" w:hAnsi="Arial" w:cs="Arial"/>
        </w:rPr>
        <w:t xml:space="preserve"> Efetivos (as), contratados (as) e substitutos(as).</w:t>
      </w:r>
    </w:p>
  </w:footnote>
  <w:footnote w:id="5">
    <w:p w14:paraId="7FC8C272" w14:textId="77777777" w:rsidR="00A6618A" w:rsidRDefault="008B75A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3" w:history="1">
        <w:r>
          <w:rPr>
            <w:rStyle w:val="Hyperlink"/>
            <w:rFonts w:ascii="Arial" w:hAnsi="Arial" w:cs="Arial"/>
          </w:rPr>
          <w:t>https://www.ufmg.br/proex/renex/images/documentos/2012-07-13-Politica-Nacional-de-Extensao.pdf</w:t>
        </w:r>
      </w:hyperlink>
      <w:r>
        <w:rPr>
          <w:rFonts w:ascii="Arial" w:hAnsi="Arial" w:cs="Arial"/>
        </w:rPr>
        <w:t xml:space="preserve"> p.19</w:t>
      </w:r>
    </w:p>
  </w:footnote>
  <w:footnote w:id="6">
    <w:p w14:paraId="53D8910A" w14:textId="77777777" w:rsidR="00A6618A" w:rsidRDefault="008B75A5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</w:rPr>
        <w:t>A finalidade da classificação é a sistematização, de maneira a favorecer os estudos e relatórios sobre a produção da exte</w:t>
      </w:r>
      <w:r>
        <w:rPr>
          <w:rFonts w:ascii="Arial" w:hAnsi="Arial" w:cs="Arial"/>
        </w:rPr>
        <w:t xml:space="preserve">nsão universitária brasileira, segundo agrupamentos temáticos, bem como a articulação de indivíduos ou de grupos que atuam na mesma área temática. 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</w:rPr>
        <w:t>FORPROEX. Extensão universitária: organização e sistematização. Belo Horizonte: COOPMED, 2007. p. 24 (Coleçã</w:t>
      </w:r>
      <w:r>
        <w:rPr>
          <w:rFonts w:ascii="Arial" w:hAnsi="Arial" w:cs="Arial"/>
        </w:rPr>
        <w:t>o Extensão Universitária; v. 6)</w:t>
      </w:r>
    </w:p>
  </w:footnote>
  <w:footnote w:id="7">
    <w:p w14:paraId="36410FC4" w14:textId="77777777" w:rsidR="00A6618A" w:rsidRDefault="008B75A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Style w:val="Refdenotaderodap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Pr="001611EB">
        <w:rPr>
          <w:rFonts w:ascii="Arial" w:eastAsia="Helvetica" w:hAnsi="Arial" w:cs="Arial"/>
          <w:b/>
          <w:bCs/>
          <w:sz w:val="20"/>
          <w:szCs w:val="20"/>
          <w:shd w:val="clear" w:color="auto" w:fill="FFFFFF"/>
        </w:rPr>
        <w:t>O</w:t>
      </w:r>
      <w:r>
        <w:rPr>
          <w:rFonts w:ascii="Arial" w:eastAsia="Helvetica" w:hAnsi="Arial" w:cs="Arial"/>
          <w:sz w:val="20"/>
          <w:szCs w:val="20"/>
          <w:shd w:val="clear" w:color="auto" w:fill="FFFFFF"/>
        </w:rPr>
        <w:t xml:space="preserve"> </w:t>
      </w:r>
      <w:r w:rsidRPr="001611EB">
        <w:rPr>
          <w:rFonts w:ascii="Arial" w:eastAsia="Helvetica" w:hAnsi="Arial" w:cs="Arial"/>
          <w:b/>
          <w:bCs/>
          <w:sz w:val="20"/>
          <w:szCs w:val="20"/>
          <w:shd w:val="clear" w:color="auto" w:fill="FFFFFF"/>
        </w:rPr>
        <w:t>Programa de Bolsa Acadêmica de Inclusão Social (BSocial)</w:t>
      </w:r>
      <w:r>
        <w:rPr>
          <w:rFonts w:ascii="Arial" w:eastAsia="Helvetica" w:hAnsi="Arial" w:cs="Arial"/>
          <w:sz w:val="20"/>
          <w:szCs w:val="20"/>
          <w:shd w:val="clear" w:color="auto" w:fill="FFFFFF"/>
        </w:rPr>
        <w:t xml:space="preserve"> tem cunho social e visa promover a igualdade de oportunidades de qualificação acadêmica para estudantes e garantir suas permanências na universidade.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</w:p>
  </w:footnote>
  <w:footnote w:id="8">
    <w:p w14:paraId="79069197" w14:textId="77777777" w:rsidR="00A6618A" w:rsidRDefault="008B75A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Style w:val="Refdenotaderodap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Pr="001611EB">
        <w:rPr>
          <w:rFonts w:ascii="Arial" w:eastAsia="SimSun" w:hAnsi="Arial" w:cs="Arial"/>
          <w:b/>
          <w:bCs/>
          <w:sz w:val="20"/>
          <w:szCs w:val="20"/>
          <w:lang w:eastAsia="zh-CN" w:bidi="ar"/>
        </w:rPr>
        <w:t>O</w:t>
      </w:r>
      <w:r w:rsidRPr="001611EB">
        <w:rPr>
          <w:rFonts w:ascii="Arial" w:eastAsia="SimSun" w:hAnsi="Arial" w:cs="Arial"/>
          <w:b/>
          <w:bCs/>
          <w:sz w:val="20"/>
          <w:szCs w:val="20"/>
          <w:lang w:val="en-US" w:eastAsia="zh-CN" w:bidi="ar"/>
        </w:rPr>
        <w:t xml:space="preserve"> Programa de Bolsas </w:t>
      </w:r>
      <w:r w:rsidRPr="001611EB">
        <w:rPr>
          <w:rFonts w:ascii="Arial" w:eastAsia="SimSun" w:hAnsi="Arial" w:cs="Arial"/>
          <w:b/>
          <w:bCs/>
          <w:sz w:val="20"/>
          <w:szCs w:val="20"/>
          <w:lang w:eastAsia="zh-CN" w:bidi="ar"/>
        </w:rPr>
        <w:t>d</w:t>
      </w:r>
      <w:r w:rsidRPr="001611EB">
        <w:rPr>
          <w:rFonts w:ascii="Arial" w:eastAsia="SimSun" w:hAnsi="Arial" w:cs="Arial"/>
          <w:b/>
          <w:bCs/>
          <w:sz w:val="20"/>
          <w:szCs w:val="20"/>
          <w:lang w:val="en-US" w:eastAsia="zh-CN" w:bidi="ar"/>
        </w:rPr>
        <w:t>e Extensão Tecnológica</w:t>
      </w:r>
      <w:r>
        <w:rPr>
          <w:rFonts w:ascii="Arial" w:eastAsia="SimSun" w:hAnsi="Arial" w:cs="Arial"/>
          <w:sz w:val="20"/>
          <w:szCs w:val="20"/>
          <w:lang w:eastAsia="zh-CN" w:bidi="ar"/>
        </w:rPr>
        <w:t xml:space="preserve"> é destinado a</w:t>
      </w:r>
      <w:r>
        <w:rPr>
          <w:rFonts w:ascii="Arial" w:eastAsia="SimSun" w:hAnsi="Arial" w:cs="Arial"/>
          <w:sz w:val="20"/>
          <w:szCs w:val="20"/>
          <w:lang w:val="en-US" w:eastAsia="zh-CN" w:bidi="ar"/>
        </w:rPr>
        <w:t xml:space="preserve"> servidores</w:t>
      </w:r>
      <w:r>
        <w:rPr>
          <w:rFonts w:ascii="Arial" w:eastAsia="SimSun" w:hAnsi="Arial" w:cs="Arial"/>
          <w:sz w:val="20"/>
          <w:szCs w:val="20"/>
          <w:lang w:eastAsia="zh-CN" w:bidi="ar"/>
        </w:rPr>
        <w:t xml:space="preserve"> </w:t>
      </w:r>
      <w:r>
        <w:rPr>
          <w:rFonts w:ascii="Arial" w:eastAsia="SimSun" w:hAnsi="Arial" w:cs="Arial"/>
          <w:sz w:val="20"/>
          <w:szCs w:val="20"/>
          <w:lang w:val="en-US" w:eastAsia="zh-CN" w:bidi="ar"/>
        </w:rPr>
        <w:t>ativos e aposentados, estudante</w:t>
      </w:r>
      <w:r>
        <w:rPr>
          <w:rFonts w:ascii="Arial" w:eastAsia="SimSun" w:hAnsi="Arial" w:cs="Arial"/>
          <w:sz w:val="20"/>
          <w:szCs w:val="20"/>
          <w:lang w:val="en-US" w:eastAsia="zh-CN" w:bidi="ar"/>
        </w:rPr>
        <w:t xml:space="preserve">s da Universidade Regional do Cariri – URCA, colaboradores externos, estudantes de outras instituições educativas e outros cidadãos, visando à capacitação tecnológica, a transferência de tecnologias, desenvolvimento de produto e/ou serviços à disseminação </w:t>
      </w:r>
      <w:r>
        <w:rPr>
          <w:rFonts w:ascii="Arial" w:eastAsia="SimSun" w:hAnsi="Arial" w:cs="Arial"/>
          <w:sz w:val="20"/>
          <w:szCs w:val="20"/>
          <w:lang w:val="en-US" w:eastAsia="zh-CN" w:bidi="ar"/>
        </w:rPr>
        <w:t xml:space="preserve">e intercâmbio de conhecimentos relevantes para a sociedade cearense, bem como a inclusão digital, inclusão social e desenvolvimento socioeconômico do estado do Ceará. </w:t>
      </w:r>
    </w:p>
  </w:footnote>
  <w:footnote w:id="9">
    <w:p w14:paraId="0C0C4153" w14:textId="77777777" w:rsidR="00A6618A" w:rsidRDefault="008B75A5">
      <w:pPr>
        <w:spacing w:after="0" w:line="235" w:lineRule="auto"/>
        <w:ind w:right="-94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Refdenotaderodap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Pr="001611EB">
        <w:rPr>
          <w:rFonts w:ascii="Arial" w:hAnsi="Arial" w:cs="Arial"/>
          <w:b/>
          <w:sz w:val="20"/>
          <w:szCs w:val="20"/>
        </w:rPr>
        <w:t>As bolsas</w:t>
      </w:r>
      <w:r w:rsidRPr="001611EB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1611EB">
        <w:rPr>
          <w:rFonts w:ascii="Arial" w:hAnsi="Arial" w:cs="Arial"/>
          <w:b/>
          <w:sz w:val="20"/>
          <w:szCs w:val="20"/>
        </w:rPr>
        <w:t>de</w:t>
      </w:r>
      <w:r w:rsidRPr="001611EB">
        <w:rPr>
          <w:rFonts w:ascii="Arial" w:hAnsi="Arial" w:cs="Arial"/>
          <w:b/>
          <w:spacing w:val="-4"/>
          <w:sz w:val="20"/>
          <w:szCs w:val="20"/>
        </w:rPr>
        <w:t xml:space="preserve"> I</w:t>
      </w:r>
      <w:r w:rsidRPr="001611EB">
        <w:rPr>
          <w:rFonts w:ascii="Arial" w:hAnsi="Arial" w:cs="Arial"/>
          <w:b/>
          <w:sz w:val="20"/>
          <w:szCs w:val="20"/>
        </w:rPr>
        <w:t>niciação</w:t>
      </w:r>
      <w:r w:rsidRPr="001611EB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1611EB">
        <w:rPr>
          <w:rFonts w:ascii="Arial" w:hAnsi="Arial" w:cs="Arial"/>
          <w:b/>
          <w:sz w:val="20"/>
          <w:szCs w:val="20"/>
        </w:rPr>
        <w:t>a</w:t>
      </w:r>
      <w:r w:rsidRPr="001611EB">
        <w:rPr>
          <w:rFonts w:ascii="Arial" w:hAnsi="Arial" w:cs="Arial"/>
          <w:b/>
          <w:spacing w:val="-4"/>
          <w:sz w:val="20"/>
          <w:szCs w:val="20"/>
        </w:rPr>
        <w:t xml:space="preserve"> E</w:t>
      </w:r>
      <w:r w:rsidRPr="001611EB">
        <w:rPr>
          <w:rFonts w:ascii="Arial" w:hAnsi="Arial" w:cs="Arial"/>
          <w:b/>
          <w:sz w:val="20"/>
          <w:szCs w:val="20"/>
        </w:rPr>
        <w:t>xtensão</w:t>
      </w:r>
      <w:r w:rsidRPr="001611EB">
        <w:rPr>
          <w:rFonts w:ascii="Arial" w:hAnsi="Arial" w:cs="Arial"/>
          <w:b/>
          <w:spacing w:val="-4"/>
          <w:sz w:val="20"/>
          <w:szCs w:val="20"/>
        </w:rPr>
        <w:t xml:space="preserve"> J</w:t>
      </w:r>
      <w:r w:rsidRPr="001611EB">
        <w:rPr>
          <w:rFonts w:ascii="Arial" w:hAnsi="Arial" w:cs="Arial"/>
          <w:b/>
          <w:sz w:val="20"/>
          <w:szCs w:val="20"/>
        </w:rPr>
        <w:t>únior</w:t>
      </w:r>
      <w:r w:rsidRPr="001611EB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1611EB">
        <w:rPr>
          <w:rFonts w:ascii="Arial" w:hAnsi="Arial" w:cs="Arial"/>
          <w:b/>
          <w:sz w:val="20"/>
          <w:szCs w:val="20"/>
        </w:rPr>
        <w:t>da</w:t>
      </w:r>
      <w:r w:rsidRPr="001611EB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1611EB">
        <w:rPr>
          <w:rFonts w:ascii="Arial" w:hAnsi="Arial" w:cs="Arial"/>
          <w:b/>
          <w:sz w:val="20"/>
          <w:szCs w:val="20"/>
        </w:rPr>
        <w:t xml:space="preserve">URCA </w:t>
      </w:r>
      <w:r w:rsidRPr="001611EB">
        <w:rPr>
          <w:rFonts w:ascii="Arial" w:hAnsi="Arial" w:cs="Arial"/>
          <w:b/>
          <w:spacing w:val="-2"/>
          <w:sz w:val="20"/>
          <w:szCs w:val="20"/>
        </w:rPr>
        <w:t>PIBEX/JÚNIOR/URCA</w:t>
      </w:r>
      <w:r>
        <w:rPr>
          <w:rFonts w:ascii="Arial" w:hAnsi="Arial" w:cs="Arial"/>
          <w:bCs/>
          <w:spacing w:val="-2"/>
          <w:sz w:val="20"/>
          <w:szCs w:val="20"/>
        </w:rPr>
        <w:t xml:space="preserve"> são destinadas a estudantes </w:t>
      </w:r>
      <w:r>
        <w:rPr>
          <w:rFonts w:ascii="Arial" w:hAnsi="Arial" w:cs="Arial"/>
          <w:bCs/>
          <w:sz w:val="20"/>
          <w:szCs w:val="20"/>
        </w:rPr>
        <w:t>da Educação Básica regularmente matriculados no Médio ou Educação Profissional, visando o envolvimento dos mesmos</w:t>
      </w:r>
      <w:r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em</w:t>
      </w:r>
      <w:r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ações</w:t>
      </w:r>
      <w:r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de</w:t>
      </w:r>
      <w:r>
        <w:rPr>
          <w:rFonts w:ascii="Arial" w:hAnsi="Arial" w:cs="Arial"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educação</w:t>
      </w:r>
      <w:r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ambiental,</w:t>
      </w:r>
      <w:r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economia</w:t>
      </w:r>
      <w:r>
        <w:rPr>
          <w:rFonts w:ascii="Arial" w:hAnsi="Arial" w:cs="Arial"/>
          <w:bCs/>
          <w:spacing w:val="-3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criativa,</w:t>
      </w:r>
      <w:r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arqueologia,</w:t>
      </w:r>
      <w:r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geoconservação,</w:t>
      </w:r>
      <w:r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desenvolvimento sustentável e val</w:t>
      </w:r>
      <w:r>
        <w:rPr>
          <w:rFonts w:ascii="Arial" w:hAnsi="Arial" w:cs="Arial"/>
          <w:bCs/>
          <w:sz w:val="20"/>
          <w:szCs w:val="20"/>
        </w:rPr>
        <w:t>orização da cultura.</w:t>
      </w:r>
    </w:p>
    <w:p w14:paraId="4D32BD2E" w14:textId="77777777" w:rsidR="00A6618A" w:rsidRDefault="00A6618A">
      <w:pPr>
        <w:pStyle w:val="Textodenotaderodap"/>
        <w:rPr>
          <w:color w:val="FF000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4EA"/>
    <w:rsid w:val="000F2CF2"/>
    <w:rsid w:val="001611EB"/>
    <w:rsid w:val="001C6879"/>
    <w:rsid w:val="006677B7"/>
    <w:rsid w:val="007409CD"/>
    <w:rsid w:val="00754BA4"/>
    <w:rsid w:val="007D34EA"/>
    <w:rsid w:val="00843A6B"/>
    <w:rsid w:val="008B75A5"/>
    <w:rsid w:val="00904CCB"/>
    <w:rsid w:val="00997F76"/>
    <w:rsid w:val="00A6618A"/>
    <w:rsid w:val="00C377E8"/>
    <w:rsid w:val="064B7C59"/>
    <w:rsid w:val="2A5C5777"/>
    <w:rsid w:val="5AF675C1"/>
    <w:rsid w:val="61664D00"/>
    <w:rsid w:val="66C857C9"/>
    <w:rsid w:val="72BC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DD4B"/>
  <w15:docId w15:val="{C8F844C6-61D6-4A5A-A44A-0BD1337D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fmg.br/proex/renex/images/documentos/2012-07-13-Politica-Nacional-de-Extensao.pdf" TargetMode="External"/><Relationship Id="rId2" Type="http://schemas.openxmlformats.org/officeDocument/2006/relationships/hyperlink" Target="https://www.ufmg.br/proex/renex/images/documentos/2012-07-13-Politica-Nacional-de-Extensao.pdf" TargetMode="External"/><Relationship Id="rId1" Type="http://schemas.openxmlformats.org/officeDocument/2006/relationships/hyperlink" Target="https://www.ufmg.br/proex/renex/images/documentos/2012-07-13-Politica-Nacional-de-Extensao.pdf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&#225;rio\AppData\Local\Microsoft\Windows\INetCache\IE\JSPZ7Y6X\Gr&#225;fico_modalidade_de_a&#231;&#245;es_extensionistas%5b1%5d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&#225;rio\AppData\Local\Microsoft\Windows\INetCache\IE\JSPZ7Y6X\Gr&#225;fico_modalidade_de_a&#231;&#245;es_extensionistas%5b1%5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&#225;rio\AppData\Local\Microsoft\Windows\INetCache\IE\JSPZ7Y6X\Gr&#225;fico_modalidade_de_a&#231;&#245;es_extensionistas%5b1%5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&#225;rio\Desktop\extens&#227;o\gr&#225;ficos%20extens&#227;o\material%20para%20texto%20da%20revista\Quantitativo%20202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&#225;rio\Desktop\extens&#227;o\gr&#225;ficos%20extens&#227;o\material%20para%20texto%20da%20revista\Quantitativo%202022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&#225;rio\Desktop\extens&#227;o\gr&#225;ficos%20extens&#227;o\Relat&#243;rio%20geral%202022%20gr&#225;fico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&#225;rio\Desktop\extens&#227;o\gr&#225;ficos%20extens&#227;o\Relat&#243;rio%20geral%202022%20gr&#225;fico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&#225;rio\Desktop\extens&#227;o\gr&#225;ficos%20extens&#227;o\material%20para%20texto%20da%20revista\Quantitativo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pt-BR" sz="1200" b="1" i="0" u="none" strike="noStrike" kern="1200" baseline="0">
                <a:solidFill>
                  <a:schemeClr val="tx1"/>
                </a:solidFill>
                <a:latin typeface="Arial" panose="020B0604020202020204" pitchFamily="2" charset="0"/>
                <a:ea typeface="+mn-ea"/>
                <a:cs typeface="Arial" panose="020B0604020202020204" pitchFamily="2" charset="0"/>
              </a:defRPr>
            </a:pPr>
            <a:r>
              <a:rPr lang="en-US" sz="1200">
                <a:latin typeface="Arial" panose="020B0604020202020204" pitchFamily="2" charset="0"/>
                <a:cs typeface="Arial" panose="020B0604020202020204" pitchFamily="2" charset="0"/>
              </a:rPr>
              <a:t>Ações de Extensão - Prioritárias 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 w="9525" cap="flat" cmpd="sng" algn="ctr">
              <a:solidFill>
                <a:schemeClr val="accent4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pt-BR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Plan1!$A$2:$A$4</c:f>
              <c:strCache>
                <c:ptCount val="3"/>
                <c:pt idx="0">
                  <c:v>Ações voltadas para pessoas em vulnerabilidade social</c:v>
                </c:pt>
                <c:pt idx="1">
                  <c:v>Ações desenvolvidas nas escolas públicas</c:v>
                </c:pt>
                <c:pt idx="2">
                  <c:v>Demais ações extensionistas</c:v>
                </c:pt>
              </c:strCache>
            </c:strRef>
          </c:cat>
          <c:val>
            <c:numRef>
              <c:f>Plan1!$C$2:$C$4</c:f>
              <c:numCache>
                <c:formatCode>0%</c:formatCode>
                <c:ptCount val="3"/>
                <c:pt idx="0">
                  <c:v>0.30612244897959201</c:v>
                </c:pt>
                <c:pt idx="1">
                  <c:v>0.34285714285714303</c:v>
                </c:pt>
                <c:pt idx="2">
                  <c:v>0.35102040816326502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7F-4767-8D3D-B82B9D8AA7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943808"/>
        <c:axId val="41945728"/>
      </c:barChart>
      <c:catAx>
        <c:axId val="4194380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algn="r">
                  <a:defRPr lang="pt-BR"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2" charset="0"/>
                    <a:ea typeface="+mn-ea"/>
                    <a:cs typeface="Arial" panose="020B0604020202020204" pitchFamily="2" charset="0"/>
                  </a:defRPr>
                </a:pPr>
                <a:r>
                  <a:rPr lang="pt-BR" sz="1050" b="1" i="0" baseline="0">
                    <a:effectLst/>
                    <a:latin typeface="Arial" panose="020B0604020202020204" pitchFamily="2" charset="0"/>
                    <a:cs typeface="Arial" panose="020B0604020202020204" pitchFamily="2" charset="0"/>
                  </a:rPr>
                  <a:t>    245 ações</a:t>
                </a:r>
                <a:endParaRPr lang="pt-BR" sz="1050" b="1">
                  <a:effectLst/>
                  <a:latin typeface="Arial" panose="020B0604020202020204" pitchFamily="2" charset="0"/>
                  <a:cs typeface="Arial" panose="020B0604020202020204" pitchFamily="2" charset="0"/>
                </a:endParaRPr>
              </a:p>
            </c:rich>
          </c:tx>
          <c:layout>
            <c:manualLayout>
              <c:xMode val="edge"/>
              <c:yMode val="edge"/>
              <c:x val="0.425293039352447"/>
              <c:y val="0.91872887994798802"/>
            </c:manualLayout>
          </c:layout>
          <c:overlay val="0"/>
        </c:title>
        <c:numFmt formatCode="General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pt-BR" sz="1000" b="0" i="0" u="none" strike="noStrike" kern="1200" baseline="0">
                <a:solidFill>
                  <a:schemeClr val="tx1"/>
                </a:solidFill>
                <a:latin typeface="Arial" panose="020B0604020202020204" pitchFamily="2" charset="0"/>
                <a:ea typeface="+mn-ea"/>
                <a:cs typeface="Arial" panose="020B0604020202020204" pitchFamily="2" charset="0"/>
              </a:defRPr>
            </a:pPr>
            <a:endParaRPr lang="pt-BR"/>
          </a:p>
        </c:txPr>
        <c:crossAx val="41945728"/>
        <c:crosses val="autoZero"/>
        <c:auto val="1"/>
        <c:lblAlgn val="ctr"/>
        <c:lblOffset val="100"/>
        <c:noMultiLvlLbl val="0"/>
      </c:catAx>
      <c:valAx>
        <c:axId val="41945728"/>
        <c:scaling>
          <c:orientation val="minMax"/>
        </c:scaling>
        <c:delete val="1"/>
        <c:axPos val="l"/>
        <c:majorGridlines/>
        <c:numFmt formatCode="0%" sourceLinked="1"/>
        <c:majorTickMark val="out"/>
        <c:minorTickMark val="none"/>
        <c:tickLblPos val="nextTo"/>
        <c:crossAx val="419438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lang="pt-BR"/>
      </a:pPr>
      <a:endParaRPr lang="pt-B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pt-BR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b="1">
                <a:solidFill>
                  <a:sysClr val="windowText" lastClr="000000"/>
                </a:solidFill>
                <a:latin typeface="Arial" panose="020B0604020202020204" pitchFamily="2" charset="0"/>
                <a:cs typeface="Arial" panose="020B0604020202020204" pitchFamily="2" charset="0"/>
              </a:rPr>
              <a:t>Participação</a:t>
            </a:r>
            <a:r>
              <a:rPr lang="pt-BR" b="1" baseline="0">
                <a:solidFill>
                  <a:sysClr val="windowText" lastClr="000000"/>
                </a:solidFill>
                <a:latin typeface="Arial" panose="020B0604020202020204" pitchFamily="2" charset="0"/>
                <a:cs typeface="Arial" panose="020B0604020202020204" pitchFamily="2" charset="0"/>
              </a:rPr>
              <a:t> Docente</a:t>
            </a:r>
            <a:endParaRPr lang="pt-BR" b="1">
              <a:solidFill>
                <a:sysClr val="windowText" lastClr="000000"/>
              </a:solidFill>
              <a:latin typeface="Arial" panose="020B0604020202020204" pitchFamily="2" charset="0"/>
              <a:cs typeface="Arial" panose="020B0604020202020204" pitchFamily="2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pt-BR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CB2-4E43-B667-B54E593E320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CB2-4E43-B667-B54E593E320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Percentual  de docentes envolvidos nas atividades de extensão 21% 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CB2-4E43-B667-B54E593E320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Percentual de Docentes que não atuaram nas atividades de extensão 79%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4CB2-4E43-B667-B54E593E320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lang="pt-BR"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Plan1!$B$37:$B$38</c:f>
              <c:strCache>
                <c:ptCount val="2"/>
                <c:pt idx="0">
                  <c:v>Total de docentes envolvidos nas atividades de extensão </c:v>
                </c:pt>
                <c:pt idx="1">
                  <c:v>Total geral de Docentes na URCA</c:v>
                </c:pt>
              </c:strCache>
            </c:strRef>
          </c:cat>
          <c:val>
            <c:numRef>
              <c:f>Plan1!$C$37:$C$38</c:f>
              <c:numCache>
                <c:formatCode>General</c:formatCode>
                <c:ptCount val="2"/>
                <c:pt idx="0">
                  <c:v>164</c:v>
                </c:pt>
                <c:pt idx="1">
                  <c:v>632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CB2-4E43-B667-B54E593E320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2.3815835520559901E-2"/>
          <c:y val="0.23189814814814799"/>
          <c:w val="0.41625721784776898"/>
          <c:h val="0.315973315835521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pt-BR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pt-BR"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pt-BR" sz="144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b="1">
                <a:solidFill>
                  <a:sysClr val="windowText" lastClr="000000"/>
                </a:solidFill>
              </a:rPr>
              <a:t>Estudantes Extensionistas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pt-BR" sz="144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ofPieChart>
        <c:ofPieType val="pie"/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3B1-466F-AA56-E703DF53DC8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3B1-466F-AA56-E703DF53DC8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3B1-466F-AA56-E703DF53DC83}"/>
              </c:ext>
            </c:extLst>
          </c:dPt>
          <c:dLbls>
            <c:dLbl>
              <c:idx val="1"/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B1-466F-AA56-E703DF53DC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pt-BR"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Plan1!$B$50:$B$51</c:f>
              <c:strCache>
                <c:ptCount val="2"/>
                <c:pt idx="0">
                  <c:v>Total geral de Estudantes</c:v>
                </c:pt>
                <c:pt idx="1">
                  <c:v>Total de estudantes extensionistas</c:v>
                </c:pt>
              </c:strCache>
            </c:strRef>
          </c:cat>
          <c:val>
            <c:numRef>
              <c:f>Plan1!$C$50:$C$51</c:f>
              <c:numCache>
                <c:formatCode>General</c:formatCode>
                <c:ptCount val="2"/>
                <c:pt idx="0">
                  <c:v>7712</c:v>
                </c:pt>
                <c:pt idx="1">
                  <c:v>586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3B1-466F-AA56-E703DF53DC8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gapWidth val="100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pt-BR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pt-BR"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pt-BR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t-BR" sz="1100">
                <a:latin typeface="Times New Roman" panose="02020603050405020304" charset="0"/>
                <a:cs typeface="Times New Roman" panose="02020603050405020304" charset="0"/>
              </a:rPr>
              <a:t>ÁREAS</a:t>
            </a:r>
            <a:r>
              <a:rPr lang="pt-BR" sz="1100" baseline="0">
                <a:latin typeface="Times New Roman" panose="02020603050405020304" charset="0"/>
                <a:cs typeface="Times New Roman" panose="02020603050405020304" charset="0"/>
              </a:rPr>
              <a:t> TEMÁTICAS PROJETOS</a:t>
            </a:r>
            <a:endParaRPr lang="pt-BR" sz="1100">
              <a:latin typeface="Times New Roman" panose="02020603050405020304" charset="0"/>
              <a:cs typeface="Times New Roman" panose="02020603050405020304" charset="0"/>
            </a:endParaRPr>
          </a:p>
        </c:rich>
      </c:tx>
      <c:overlay val="0"/>
    </c:title>
    <c:autoTitleDeleted val="0"/>
    <c:view3D>
      <c:rotX val="30"/>
      <c:rotY val="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21CB-4A2D-B545-F3C9E7BC271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21CB-4A2D-B545-F3C9E7BC2716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21CB-4A2D-B545-F3C9E7BC2716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21CB-4A2D-B545-F3C9E7BC2716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21CB-4A2D-B545-F3C9E7BC2716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21CB-4A2D-B545-F3C9E7BC2716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21CB-4A2D-B545-F3C9E7BC2716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21CB-4A2D-B545-F3C9E7BC271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pt-BR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'[1]ÁREAS TEMÁTICAS'!$D$3:$D$10</c:f>
              <c:strCache>
                <c:ptCount val="8"/>
                <c:pt idx="0">
                  <c:v>Comunicação</c:v>
                </c:pt>
                <c:pt idx="1">
                  <c:v>Cultura</c:v>
                </c:pt>
                <c:pt idx="2">
                  <c:v>Direitos Humanos e Justiça</c:v>
                </c:pt>
                <c:pt idx="3">
                  <c:v>Educação</c:v>
                </c:pt>
                <c:pt idx="4">
                  <c:v>Meio Ambiente</c:v>
                </c:pt>
                <c:pt idx="5">
                  <c:v>Saúde</c:v>
                </c:pt>
                <c:pt idx="6">
                  <c:v>Tecnologia</c:v>
                </c:pt>
                <c:pt idx="7">
                  <c:v>Trabalho</c:v>
                </c:pt>
              </c:strCache>
            </c:strRef>
          </c:cat>
          <c:val>
            <c:numRef>
              <c:f>'[1]ÁREAS TEMÁTICAS'!$E$3:$E$10</c:f>
              <c:numCache>
                <c:formatCode>General</c:formatCode>
                <c:ptCount val="8"/>
                <c:pt idx="0">
                  <c:v>2</c:v>
                </c:pt>
                <c:pt idx="1">
                  <c:v>16</c:v>
                </c:pt>
                <c:pt idx="2">
                  <c:v>12</c:v>
                </c:pt>
                <c:pt idx="3">
                  <c:v>31</c:v>
                </c:pt>
                <c:pt idx="4">
                  <c:v>6</c:v>
                </c:pt>
                <c:pt idx="5">
                  <c:v>54</c:v>
                </c:pt>
                <c:pt idx="6">
                  <c:v>3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1CB-4A2D-B545-F3C9E7BC2716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txPr>
    <a:bodyPr/>
    <a:lstStyle/>
    <a:p>
      <a:pPr>
        <a:defRPr lang="pt-BR"/>
      </a:pPr>
      <a:endParaRPr lang="pt-B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pt-BR" sz="11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t-BR" sz="1100">
                <a:latin typeface="Times New Roman" panose="02020603050405020304" charset="0"/>
                <a:cs typeface="Times New Roman" panose="02020603050405020304" charset="0"/>
              </a:rPr>
              <a:t>ÁREAS</a:t>
            </a:r>
            <a:r>
              <a:rPr lang="pt-BR" sz="1100" baseline="0">
                <a:latin typeface="Times New Roman" panose="02020603050405020304" charset="0"/>
                <a:cs typeface="Times New Roman" panose="02020603050405020304" charset="0"/>
              </a:rPr>
              <a:t> TEMÁTICAS PROGRAMAS</a:t>
            </a:r>
            <a:endParaRPr lang="pt-BR" sz="1100">
              <a:latin typeface="Times New Roman" panose="02020603050405020304" charset="0"/>
              <a:cs typeface="Times New Roman" panose="02020603050405020304" charset="0"/>
            </a:endParaRPr>
          </a:p>
        </c:rich>
      </c:tx>
      <c:overlay val="0"/>
    </c:title>
    <c:autoTitleDeleted val="0"/>
    <c:view3D>
      <c:rotX val="30"/>
      <c:rotY val="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37C4-4558-BB35-BB4A94FA143A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37C4-4558-BB35-BB4A94FA143A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37C4-4558-BB35-BB4A94FA143A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37C4-4558-BB35-BB4A94FA143A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37C4-4558-BB35-BB4A94FA143A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37C4-4558-BB35-BB4A94FA143A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37C4-4558-BB35-BB4A94FA143A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37C4-4558-BB35-BB4A94FA143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pt-BR" sz="10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'[1]Área Temática'!$A$2:$A$9</c:f>
              <c:strCache>
                <c:ptCount val="8"/>
                <c:pt idx="0">
                  <c:v>Comunicação</c:v>
                </c:pt>
                <c:pt idx="1">
                  <c:v>Cultura</c:v>
                </c:pt>
                <c:pt idx="2">
                  <c:v>Direitos Humanos e Justiça</c:v>
                </c:pt>
                <c:pt idx="3">
                  <c:v>Educação</c:v>
                </c:pt>
                <c:pt idx="4">
                  <c:v>Meio Ambiente</c:v>
                </c:pt>
                <c:pt idx="5">
                  <c:v>Saúde</c:v>
                </c:pt>
                <c:pt idx="6">
                  <c:v>Tecnologia</c:v>
                </c:pt>
                <c:pt idx="7">
                  <c:v>Trabalho</c:v>
                </c:pt>
              </c:strCache>
            </c:strRef>
          </c:cat>
          <c:val>
            <c:numRef>
              <c:f>'[1]Área Temática'!$B$2:$B$9</c:f>
              <c:numCache>
                <c:formatCode>General</c:formatCode>
                <c:ptCount val="8"/>
                <c:pt idx="0">
                  <c:v>3</c:v>
                </c:pt>
                <c:pt idx="1">
                  <c:v>10</c:v>
                </c:pt>
                <c:pt idx="2">
                  <c:v>2</c:v>
                </c:pt>
                <c:pt idx="3">
                  <c:v>4</c:v>
                </c:pt>
                <c:pt idx="4">
                  <c:v>1</c:v>
                </c:pt>
                <c:pt idx="5">
                  <c:v>14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7C4-4558-BB35-BB4A94FA143A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txPr>
    <a:bodyPr/>
    <a:lstStyle/>
    <a:p>
      <a:pPr>
        <a:defRPr lang="pt-BR"/>
      </a:pPr>
      <a:endParaRPr lang="pt-B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pt-BR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Municípios</a:t>
            </a:r>
            <a:r>
              <a:rPr lang="pt-BR" baseline="0"/>
              <a:t> beneficiados com ações de Extensão da URCA no Cariri</a:t>
            </a:r>
            <a:endParaRPr lang="pt-B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pt-BR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Planilha1!$A$61:$A$89</c:f>
              <c:strCache>
                <c:ptCount val="29"/>
                <c:pt idx="0">
                  <c:v>Abaiara</c:v>
                </c:pt>
                <c:pt idx="1">
                  <c:v>Altaneira</c:v>
                </c:pt>
                <c:pt idx="2">
                  <c:v>Antonina do Norte</c:v>
                </c:pt>
                <c:pt idx="3">
                  <c:v>Araripe</c:v>
                </c:pt>
                <c:pt idx="4">
                  <c:v>Assaré</c:v>
                </c:pt>
                <c:pt idx="5">
                  <c:v>Aurora</c:v>
                </c:pt>
                <c:pt idx="6">
                  <c:v>Barbalha</c:v>
                </c:pt>
                <c:pt idx="7">
                  <c:v>Barro</c:v>
                </c:pt>
                <c:pt idx="8">
                  <c:v>Brejo Santo</c:v>
                </c:pt>
                <c:pt idx="9">
                  <c:v>Campos Sales</c:v>
                </c:pt>
                <c:pt idx="10">
                  <c:v>Caririaçu</c:v>
                </c:pt>
                <c:pt idx="11">
                  <c:v>Crato</c:v>
                </c:pt>
                <c:pt idx="12">
                  <c:v>Farias Brito</c:v>
                </c:pt>
                <c:pt idx="13">
                  <c:v>Granjeiro</c:v>
                </c:pt>
                <c:pt idx="14">
                  <c:v>Jardim</c:v>
                </c:pt>
                <c:pt idx="15">
                  <c:v>Jati</c:v>
                </c:pt>
                <c:pt idx="16">
                  <c:v>Juazeiro do Norte</c:v>
                </c:pt>
                <c:pt idx="17">
                  <c:v>Lavras da Mangabeira</c:v>
                </c:pt>
                <c:pt idx="18">
                  <c:v>Mauriti</c:v>
                </c:pt>
                <c:pt idx="19">
                  <c:v>Milagres</c:v>
                </c:pt>
                <c:pt idx="20">
                  <c:v>Missão Velha</c:v>
                </c:pt>
                <c:pt idx="21">
                  <c:v>Nova Olinda</c:v>
                </c:pt>
                <c:pt idx="22">
                  <c:v>Penaforte</c:v>
                </c:pt>
                <c:pt idx="23">
                  <c:v>Porteiras</c:v>
                </c:pt>
                <c:pt idx="24">
                  <c:v>Potengi</c:v>
                </c:pt>
                <c:pt idx="25">
                  <c:v>Salitre</c:v>
                </c:pt>
                <c:pt idx="26">
                  <c:v>Santana do Cariri</c:v>
                </c:pt>
                <c:pt idx="27">
                  <c:v>Tarrafas</c:v>
                </c:pt>
                <c:pt idx="28">
                  <c:v>Várzea Alegre</c:v>
                </c:pt>
              </c:strCache>
            </c:strRef>
          </c:cat>
          <c:val>
            <c:numRef>
              <c:f>Planilha1!$B$61:$B$89</c:f>
              <c:numCache>
                <c:formatCode>General</c:formatCode>
                <c:ptCount val="29"/>
                <c:pt idx="0">
                  <c:v>9</c:v>
                </c:pt>
                <c:pt idx="1">
                  <c:v>7</c:v>
                </c:pt>
                <c:pt idx="2">
                  <c:v>11</c:v>
                </c:pt>
                <c:pt idx="3">
                  <c:v>13</c:v>
                </c:pt>
                <c:pt idx="4">
                  <c:v>10</c:v>
                </c:pt>
                <c:pt idx="5">
                  <c:v>9</c:v>
                </c:pt>
                <c:pt idx="6">
                  <c:v>39</c:v>
                </c:pt>
                <c:pt idx="7">
                  <c:v>11</c:v>
                </c:pt>
                <c:pt idx="8">
                  <c:v>16</c:v>
                </c:pt>
                <c:pt idx="9">
                  <c:v>22</c:v>
                </c:pt>
                <c:pt idx="10">
                  <c:v>16</c:v>
                </c:pt>
                <c:pt idx="11">
                  <c:v>70</c:v>
                </c:pt>
                <c:pt idx="12">
                  <c:v>14</c:v>
                </c:pt>
                <c:pt idx="13">
                  <c:v>6</c:v>
                </c:pt>
                <c:pt idx="14">
                  <c:v>17</c:v>
                </c:pt>
                <c:pt idx="15">
                  <c:v>5</c:v>
                </c:pt>
                <c:pt idx="16">
                  <c:v>57</c:v>
                </c:pt>
                <c:pt idx="17">
                  <c:v>10</c:v>
                </c:pt>
                <c:pt idx="18">
                  <c:v>14</c:v>
                </c:pt>
                <c:pt idx="19">
                  <c:v>10</c:v>
                </c:pt>
                <c:pt idx="20">
                  <c:v>27</c:v>
                </c:pt>
                <c:pt idx="21">
                  <c:v>21</c:v>
                </c:pt>
                <c:pt idx="22">
                  <c:v>5</c:v>
                </c:pt>
                <c:pt idx="23">
                  <c:v>10</c:v>
                </c:pt>
                <c:pt idx="24">
                  <c:v>9</c:v>
                </c:pt>
                <c:pt idx="25">
                  <c:v>12</c:v>
                </c:pt>
                <c:pt idx="26">
                  <c:v>20</c:v>
                </c:pt>
                <c:pt idx="27">
                  <c:v>6</c:v>
                </c:pt>
                <c:pt idx="28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49-4F3F-985B-51942D2D1A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5299904"/>
        <c:axId val="1843765968"/>
      </c:barChart>
      <c:catAx>
        <c:axId val="194529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843765968"/>
        <c:crosses val="autoZero"/>
        <c:auto val="1"/>
        <c:lblAlgn val="ctr"/>
        <c:lblOffset val="100"/>
        <c:noMultiLvlLbl val="0"/>
      </c:catAx>
      <c:valAx>
        <c:axId val="1843765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945299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pt-BR"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pt-BR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Municípios </a:t>
            </a:r>
            <a:r>
              <a:rPr lang="pt-BR" baseline="0"/>
              <a:t> beneficiados com ações de Extensão da URCA na</a:t>
            </a:r>
            <a:r>
              <a:rPr lang="pt-BR"/>
              <a:t> Região Centro Sul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pt-BR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Planilha1!$A$117:$A$129</c:f>
              <c:strCache>
                <c:ptCount val="13"/>
                <c:pt idx="0">
                  <c:v>Acopiara</c:v>
                </c:pt>
                <c:pt idx="1">
                  <c:v>Baixio</c:v>
                </c:pt>
                <c:pt idx="2">
                  <c:v>Cariús</c:v>
                </c:pt>
                <c:pt idx="3">
                  <c:v>Catarina</c:v>
                </c:pt>
                <c:pt idx="4">
                  <c:v>Cedro</c:v>
                </c:pt>
                <c:pt idx="5">
                  <c:v>Icó</c:v>
                </c:pt>
                <c:pt idx="6">
                  <c:v>Iguatu</c:v>
                </c:pt>
                <c:pt idx="7">
                  <c:v>Ipaumirim</c:v>
                </c:pt>
                <c:pt idx="8">
                  <c:v>Jucás</c:v>
                </c:pt>
                <c:pt idx="9">
                  <c:v>Orós</c:v>
                </c:pt>
                <c:pt idx="10">
                  <c:v>Quixelô</c:v>
                </c:pt>
                <c:pt idx="11">
                  <c:v>Saboeiro</c:v>
                </c:pt>
                <c:pt idx="12">
                  <c:v>Umari</c:v>
                </c:pt>
              </c:strCache>
            </c:strRef>
          </c:cat>
          <c:val>
            <c:numRef>
              <c:f>Planilha1!$B$117:$B$129</c:f>
              <c:numCache>
                <c:formatCode>General</c:formatCode>
                <c:ptCount val="13"/>
                <c:pt idx="0">
                  <c:v>4</c:v>
                </c:pt>
                <c:pt idx="1">
                  <c:v>2</c:v>
                </c:pt>
                <c:pt idx="2">
                  <c:v>4</c:v>
                </c:pt>
                <c:pt idx="3">
                  <c:v>4</c:v>
                </c:pt>
                <c:pt idx="4">
                  <c:v>6</c:v>
                </c:pt>
                <c:pt idx="5">
                  <c:v>7</c:v>
                </c:pt>
                <c:pt idx="6">
                  <c:v>28</c:v>
                </c:pt>
                <c:pt idx="7">
                  <c:v>3</c:v>
                </c:pt>
                <c:pt idx="8">
                  <c:v>4</c:v>
                </c:pt>
                <c:pt idx="9">
                  <c:v>3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AF-4CBE-825A-D581BD5675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6127088"/>
        <c:axId val="701493472"/>
      </c:barChart>
      <c:catAx>
        <c:axId val="816127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701493472"/>
        <c:crosses val="autoZero"/>
        <c:auto val="1"/>
        <c:lblAlgn val="ctr"/>
        <c:lblOffset val="100"/>
        <c:noMultiLvlLbl val="0"/>
      </c:catAx>
      <c:valAx>
        <c:axId val="701493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pt-BR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16127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pt-BR"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pt-BR" sz="16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t-BR" sz="1600">
                <a:latin typeface="Times New Roman" panose="02020603050405020304" charset="0"/>
                <a:cs typeface="Times New Roman" panose="02020603050405020304" charset="0"/>
              </a:rPr>
              <a:t>MODALIDADE DE BOLSAS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pt-BR" sz="10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'Total Geral'!$A$12:$A$14</c:f>
              <c:strCache>
                <c:ptCount val="3"/>
                <c:pt idx="0">
                  <c:v>Bsocial/FECOP</c:v>
                </c:pt>
                <c:pt idx="1">
                  <c:v>Extensão Tecnológica</c:v>
                </c:pt>
                <c:pt idx="2">
                  <c:v>Pibex Júnior</c:v>
                </c:pt>
              </c:strCache>
            </c:strRef>
          </c:cat>
          <c:val>
            <c:numRef>
              <c:f>'Total Geral'!$B$12:$B$14</c:f>
              <c:numCache>
                <c:formatCode>General</c:formatCode>
                <c:ptCount val="3"/>
                <c:pt idx="0">
                  <c:v>270</c:v>
                </c:pt>
                <c:pt idx="1">
                  <c:v>31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FE-46F6-83F1-12DF31E8ED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6981888"/>
        <c:axId val="196983424"/>
      </c:barChart>
      <c:catAx>
        <c:axId val="1969818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pt-BR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pt-BR"/>
          </a:p>
        </c:txPr>
        <c:crossAx val="196983424"/>
        <c:crosses val="autoZero"/>
        <c:auto val="1"/>
        <c:lblAlgn val="ctr"/>
        <c:lblOffset val="100"/>
        <c:noMultiLvlLbl val="0"/>
      </c:catAx>
      <c:valAx>
        <c:axId val="196983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pt-BR" sz="10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pt-BR"/>
          </a:p>
        </c:txPr>
        <c:crossAx val="19698188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pt-BR"/>
      </a:pPr>
      <a:endParaRPr lang="pt-B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C65A8-EFA3-4B04-A320-B53F52C85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1671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Freire</dc:creator>
  <cp:lastModifiedBy>Cicero Magerbio</cp:lastModifiedBy>
  <cp:revision>2</cp:revision>
  <dcterms:created xsi:type="dcterms:W3CDTF">2023-10-17T02:43:00Z</dcterms:created>
  <dcterms:modified xsi:type="dcterms:W3CDTF">2023-10-17T02:43:00Z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34647B9A412546C59F32B825B6903AC4_12</vt:lpwstr>
  </property>
</Properties>
</file>